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163A" w14:textId="3D4F1888" w:rsidR="00993E9B" w:rsidRDefault="00993E9B" w:rsidP="00993E9B">
      <w:pPr>
        <w:pStyle w:val="CRCoverPage"/>
        <w:tabs>
          <w:tab w:val="right" w:pos="9639"/>
        </w:tabs>
        <w:spacing w:after="0"/>
        <w:rPr>
          <w:b/>
          <w:noProof/>
          <w:sz w:val="24"/>
        </w:rPr>
      </w:pPr>
      <w:r w:rsidRPr="00FB346E">
        <w:rPr>
          <w:b/>
          <w:noProof/>
          <w:sz w:val="24"/>
        </w:rPr>
        <w:t>3GPP TSG-RAN4 Meeting #1</w:t>
      </w:r>
      <w:r>
        <w:rPr>
          <w:b/>
          <w:noProof/>
          <w:sz w:val="24"/>
        </w:rPr>
        <w:t>10-bis</w:t>
      </w:r>
      <w:r w:rsidRPr="0033027D">
        <w:rPr>
          <w:b/>
          <w:noProof/>
          <w:sz w:val="24"/>
        </w:rPr>
        <w:tab/>
      </w:r>
      <w:r w:rsidR="004072E0" w:rsidRPr="004072E0">
        <w:rPr>
          <w:b/>
          <w:noProof/>
          <w:sz w:val="24"/>
        </w:rPr>
        <w:t>R4-2405081</w:t>
      </w:r>
    </w:p>
    <w:p w14:paraId="3A8B920D" w14:textId="77777777" w:rsidR="00993E9B" w:rsidRPr="00B144E9" w:rsidRDefault="00993E9B" w:rsidP="00993E9B">
      <w:pPr>
        <w:rPr>
          <w:rFonts w:ascii="Arial" w:hAnsi="Arial" w:cs="Arial"/>
          <w:b/>
          <w:noProof/>
          <w:sz w:val="24"/>
          <w:szCs w:val="24"/>
        </w:rPr>
      </w:pPr>
      <w:r w:rsidRPr="00465D36">
        <w:rPr>
          <w:rFonts w:ascii="Arial" w:hAnsi="Arial" w:cs="Arial"/>
          <w:b/>
          <w:noProof/>
          <w:sz w:val="24"/>
          <w:szCs w:val="24"/>
        </w:rPr>
        <w:t>Changsha</w:t>
      </w:r>
      <w:r>
        <w:rPr>
          <w:rFonts w:ascii="Arial" w:hAnsi="Arial" w:cs="Arial"/>
          <w:b/>
          <w:noProof/>
          <w:sz w:val="24"/>
          <w:szCs w:val="24"/>
        </w:rPr>
        <w:t>, China</w:t>
      </w:r>
      <w:r w:rsidRPr="0084404E">
        <w:rPr>
          <w:rFonts w:ascii="Arial" w:hAnsi="Arial" w:cs="Arial"/>
          <w:b/>
          <w:noProof/>
          <w:sz w:val="24"/>
          <w:szCs w:val="24"/>
        </w:rPr>
        <w:t xml:space="preserve">, </w:t>
      </w:r>
      <w:r>
        <w:rPr>
          <w:rFonts w:ascii="Arial" w:hAnsi="Arial" w:cs="Arial"/>
          <w:b/>
          <w:noProof/>
          <w:sz w:val="24"/>
          <w:szCs w:val="24"/>
        </w:rPr>
        <w:t>26</w:t>
      </w:r>
      <w:r w:rsidRPr="0084404E">
        <w:rPr>
          <w:rFonts w:ascii="Arial" w:hAnsi="Arial" w:cs="Arial"/>
          <w:b/>
          <w:noProof/>
          <w:sz w:val="24"/>
          <w:szCs w:val="24"/>
        </w:rPr>
        <w:t xml:space="preserve">th </w:t>
      </w:r>
      <w:r>
        <w:rPr>
          <w:rFonts w:ascii="Arial" w:hAnsi="Arial" w:cs="Arial"/>
          <w:b/>
          <w:noProof/>
          <w:sz w:val="24"/>
          <w:szCs w:val="24"/>
        </w:rPr>
        <w:t>Feb</w:t>
      </w:r>
      <w:r w:rsidRPr="0084404E">
        <w:rPr>
          <w:rFonts w:ascii="Arial" w:hAnsi="Arial" w:cs="Arial"/>
          <w:b/>
          <w:noProof/>
          <w:sz w:val="24"/>
          <w:szCs w:val="24"/>
        </w:rPr>
        <w:t xml:space="preserve"> 202</w:t>
      </w:r>
      <w:r>
        <w:rPr>
          <w:rFonts w:ascii="Arial" w:hAnsi="Arial" w:cs="Arial"/>
          <w:b/>
          <w:noProof/>
          <w:sz w:val="24"/>
          <w:szCs w:val="24"/>
        </w:rPr>
        <w:t>4</w:t>
      </w:r>
      <w:r w:rsidRPr="0084404E">
        <w:rPr>
          <w:rFonts w:ascii="Arial" w:hAnsi="Arial" w:cs="Arial"/>
          <w:b/>
          <w:noProof/>
          <w:sz w:val="24"/>
          <w:szCs w:val="24"/>
        </w:rPr>
        <w:t xml:space="preserve"> </w:t>
      </w:r>
      <w:r>
        <w:rPr>
          <w:rFonts w:ascii="Arial" w:hAnsi="Arial" w:cs="Arial"/>
          <w:b/>
          <w:noProof/>
          <w:sz w:val="24"/>
          <w:szCs w:val="24"/>
        </w:rPr>
        <w:t>–</w:t>
      </w:r>
      <w:r w:rsidRPr="0084404E">
        <w:rPr>
          <w:rFonts w:ascii="Arial" w:hAnsi="Arial" w:cs="Arial"/>
          <w:b/>
          <w:noProof/>
          <w:sz w:val="24"/>
          <w:szCs w:val="24"/>
        </w:rPr>
        <w:t xml:space="preserve"> 1</w:t>
      </w:r>
      <w:r w:rsidRPr="00991E8E">
        <w:rPr>
          <w:rFonts w:ascii="Arial" w:hAnsi="Arial" w:cs="Arial"/>
          <w:b/>
          <w:noProof/>
          <w:sz w:val="24"/>
          <w:szCs w:val="24"/>
          <w:vertAlign w:val="superscript"/>
        </w:rPr>
        <w:t>st</w:t>
      </w:r>
      <w:r w:rsidRPr="0084404E">
        <w:rPr>
          <w:rFonts w:ascii="Arial" w:hAnsi="Arial" w:cs="Arial"/>
          <w:b/>
          <w:noProof/>
          <w:sz w:val="24"/>
          <w:szCs w:val="24"/>
        </w:rPr>
        <w:t xml:space="preserve"> </w:t>
      </w:r>
      <w:r>
        <w:rPr>
          <w:rFonts w:ascii="Arial" w:hAnsi="Arial" w:cs="Arial"/>
          <w:b/>
          <w:noProof/>
          <w:sz w:val="24"/>
          <w:szCs w:val="24"/>
        </w:rPr>
        <w:t>Mar</w:t>
      </w:r>
      <w:r w:rsidRPr="0084404E">
        <w:rPr>
          <w:rFonts w:ascii="Arial" w:hAnsi="Arial" w:cs="Arial"/>
          <w:b/>
          <w:noProof/>
          <w:sz w:val="24"/>
          <w:szCs w:val="24"/>
        </w:rPr>
        <w:t xml:space="preserve"> 202</w:t>
      </w:r>
      <w:r>
        <w:rPr>
          <w:rFonts w:ascii="Arial" w:hAnsi="Arial" w:cs="Arial"/>
          <w:b/>
          <w:noProof/>
          <w:sz w:val="24"/>
          <w:szCs w:val="24"/>
        </w:rPr>
        <w:t>4</w:t>
      </w:r>
      <w:r>
        <w:rPr>
          <w:rFonts w:cs="Arial"/>
          <w:b/>
          <w:sz w:val="24"/>
        </w:rPr>
        <w:br/>
      </w:r>
    </w:p>
    <w:p w14:paraId="176ED48B" w14:textId="079C470D" w:rsidR="00993E9B" w:rsidRPr="005E4466" w:rsidRDefault="00993E9B" w:rsidP="00993E9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Pr="00E67FB1">
        <w:rPr>
          <w:rFonts w:ascii="Arial" w:hAnsi="Arial" w:cs="Arial"/>
          <w:b/>
        </w:rPr>
        <w:t xml:space="preserve">IMT parameters for </w:t>
      </w:r>
      <w:r w:rsidR="003A3D36">
        <w:rPr>
          <w:rFonts w:ascii="Arial" w:hAnsi="Arial" w:cs="Arial"/>
          <w:b/>
        </w:rPr>
        <w:t>14</w:t>
      </w:r>
      <w:r w:rsidR="00800C1B">
        <w:rPr>
          <w:rFonts w:ascii="Arial" w:hAnsi="Arial" w:cs="Arial"/>
          <w:b/>
        </w:rPr>
        <w:t xml:space="preserve"> 800</w:t>
      </w:r>
      <w:r w:rsidRPr="00E67FB1">
        <w:rPr>
          <w:rFonts w:ascii="Arial" w:hAnsi="Arial" w:cs="Arial"/>
          <w:b/>
        </w:rPr>
        <w:t xml:space="preserve"> to </w:t>
      </w:r>
      <w:r w:rsidR="00800C1B">
        <w:rPr>
          <w:rFonts w:ascii="Arial" w:hAnsi="Arial" w:cs="Arial"/>
          <w:b/>
        </w:rPr>
        <w:t xml:space="preserve">15 </w:t>
      </w:r>
      <w:r w:rsidR="004D1525">
        <w:rPr>
          <w:rFonts w:ascii="Arial" w:hAnsi="Arial" w:cs="Arial"/>
          <w:b/>
        </w:rPr>
        <w:t>350</w:t>
      </w:r>
      <w:r w:rsidRPr="00E67FB1">
        <w:rPr>
          <w:rFonts w:ascii="Arial" w:hAnsi="Arial" w:cs="Arial"/>
          <w:b/>
        </w:rPr>
        <w:t xml:space="preserve"> MHz</w:t>
      </w:r>
    </w:p>
    <w:p w14:paraId="11DC877B" w14:textId="77777777" w:rsidR="00993E9B" w:rsidRPr="005E4466" w:rsidRDefault="00993E9B" w:rsidP="00993E9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544628E3" w14:textId="77777777" w:rsidR="00993E9B" w:rsidRPr="005E4466" w:rsidRDefault="00993E9B" w:rsidP="00993E9B">
      <w:pPr>
        <w:spacing w:after="60"/>
        <w:ind w:left="1985" w:hanging="1985"/>
        <w:rPr>
          <w:rFonts w:ascii="Arial" w:hAnsi="Arial" w:cs="Arial"/>
          <w:b/>
        </w:rPr>
      </w:pPr>
    </w:p>
    <w:p w14:paraId="229B76F1" w14:textId="598FEFE1" w:rsidR="00993E9B" w:rsidRDefault="00993E9B" w:rsidP="00993E9B">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37778">
        <w:rPr>
          <w:rFonts w:ascii="Arial" w:hAnsi="Arial" w:cs="Arial"/>
          <w:b/>
        </w:rPr>
        <w:t>9.3.</w:t>
      </w:r>
      <w:r w:rsidR="003D74A8">
        <w:rPr>
          <w:rFonts w:ascii="Arial" w:hAnsi="Arial" w:cs="Arial"/>
          <w:b/>
        </w:rPr>
        <w:t>4</w:t>
      </w:r>
    </w:p>
    <w:p w14:paraId="412EB34C" w14:textId="77777777" w:rsidR="00993E9B" w:rsidRPr="005E4466" w:rsidRDefault="00993E9B" w:rsidP="00993E9B">
      <w:pPr>
        <w:spacing w:after="60"/>
        <w:ind w:left="1985" w:hanging="1985"/>
        <w:rPr>
          <w:rFonts w:ascii="Arial" w:hAnsi="Arial" w:cs="Arial"/>
          <w:b/>
        </w:rPr>
      </w:pPr>
    </w:p>
    <w:p w14:paraId="37A149D8" w14:textId="77777777" w:rsidR="00993E9B" w:rsidRPr="005E4466" w:rsidRDefault="00993E9B" w:rsidP="00993E9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993E9B">
      <w:pPr>
        <w:spacing w:after="60"/>
        <w:ind w:left="1985" w:hanging="1985"/>
        <w:rPr>
          <w:rFonts w:ascii="Arial" w:hAnsi="Arial" w:cs="Arial"/>
          <w:bCs/>
        </w:rPr>
      </w:pPr>
    </w:p>
    <w:p w14:paraId="6796FA4B" w14:textId="77777777" w:rsidR="00993E9B" w:rsidRDefault="00993E9B" w:rsidP="00993E9B">
      <w:pPr>
        <w:pStyle w:val="Heading1"/>
      </w:pPr>
      <w:r>
        <w:t>1.</w:t>
      </w:r>
      <w:r>
        <w:tab/>
        <w:t>Introduction</w:t>
      </w:r>
    </w:p>
    <w:p w14:paraId="260CF873" w14:textId="77777777" w:rsidR="00993E9B" w:rsidRDefault="00993E9B" w:rsidP="00993E9B">
      <w:r>
        <w:t xml:space="preserve">During RAN#103 plenary a new study item </w:t>
      </w:r>
      <w:r w:rsidRPr="004A7143">
        <w:t>on IMT parameters for 4400 to 4800 MHz, 7125 to 8400 MHz and 14800 to 15350 MHz</w:t>
      </w:r>
      <w:r>
        <w:t xml:space="preserve"> was approved [1]. The following objectives are defined for the above frequency ranges:</w:t>
      </w:r>
    </w:p>
    <w:tbl>
      <w:tblPr>
        <w:tblStyle w:val="TableGrid"/>
        <w:tblW w:w="0" w:type="auto"/>
        <w:tblLook w:val="04A0" w:firstRow="1" w:lastRow="0" w:firstColumn="1" w:lastColumn="0" w:noHBand="0" w:noVBand="1"/>
      </w:tblPr>
      <w:tblGrid>
        <w:gridCol w:w="9622"/>
      </w:tblGrid>
      <w:tr w:rsidR="00993E9B" w14:paraId="0F537A32" w14:textId="77777777">
        <w:tc>
          <w:tcPr>
            <w:tcW w:w="9622" w:type="dxa"/>
          </w:tcPr>
          <w:p w14:paraId="5AA40827" w14:textId="77777777" w:rsidR="00993E9B" w:rsidRPr="0055126D" w:rsidRDefault="00993E9B" w:rsidP="00993E9B">
            <w:pPr>
              <w:numPr>
                <w:ilvl w:val="0"/>
                <w:numId w:val="1"/>
              </w:numPr>
              <w:overflowPunct w:val="0"/>
              <w:autoSpaceDE w:val="0"/>
              <w:autoSpaceDN w:val="0"/>
              <w:adjustRightInd w:val="0"/>
              <w:spacing w:after="0"/>
              <w:textAlignment w:val="baseline"/>
              <w:rPr>
                <w:bCs/>
              </w:rPr>
            </w:pPr>
            <w:r>
              <w:rPr>
                <w:bCs/>
              </w:rPr>
              <w:t>Study the IMT parameters relevant for sharing and compatibility for 7125 to 8400 MHz f</w:t>
            </w:r>
            <w:r w:rsidRPr="0055126D">
              <w:rPr>
                <w:bCs/>
              </w:rPr>
              <w:t>requency range.</w:t>
            </w:r>
          </w:p>
          <w:p w14:paraId="61D998BB" w14:textId="77777777" w:rsidR="00993E9B" w:rsidRDefault="00993E9B" w:rsidP="00993E9B">
            <w:pPr>
              <w:numPr>
                <w:ilvl w:val="0"/>
                <w:numId w:val="1"/>
              </w:numPr>
              <w:overflowPunct w:val="0"/>
              <w:autoSpaceDE w:val="0"/>
              <w:autoSpaceDN w:val="0"/>
              <w:adjustRightInd w:val="0"/>
              <w:spacing w:after="0"/>
              <w:textAlignment w:val="baseline"/>
              <w:rPr>
                <w:bCs/>
              </w:rPr>
            </w:pPr>
            <w:r>
              <w:rPr>
                <w:bCs/>
              </w:rPr>
              <w:t>Study the IMT parameters relevant for sharing and compatibility for 14800 to 15350 MHz f</w:t>
            </w:r>
            <w:r w:rsidRPr="0055126D">
              <w:rPr>
                <w:bCs/>
              </w:rPr>
              <w:t>requency range.</w:t>
            </w:r>
          </w:p>
          <w:p w14:paraId="73C53298" w14:textId="77777777" w:rsidR="00993E9B" w:rsidRDefault="00993E9B">
            <w:pPr>
              <w:spacing w:after="0"/>
              <w:ind w:left="720"/>
              <w:rPr>
                <w:bCs/>
              </w:rPr>
            </w:pPr>
          </w:p>
          <w:p w14:paraId="6F32EA4D" w14:textId="77777777" w:rsidR="00993E9B" w:rsidRDefault="00993E9B">
            <w:pPr>
              <w:pStyle w:val="NO"/>
            </w:pPr>
            <w:r>
              <w:t>NOTE:</w:t>
            </w:r>
            <w:r>
              <w:tab/>
            </w:r>
            <w:r>
              <w:rPr>
                <w:bCs/>
              </w:rPr>
              <w:t xml:space="preserve">IMT parameters relevant for sharing and compatibility for </w:t>
            </w:r>
            <w:r>
              <w:t xml:space="preserve">4400 to 4800 MHz are reused from the already available RAN4 evaluations. </w:t>
            </w:r>
          </w:p>
        </w:tc>
      </w:tr>
    </w:tbl>
    <w:p w14:paraId="6A89076E" w14:textId="77777777" w:rsidR="00937778" w:rsidRDefault="00937778" w:rsidP="00993E9B"/>
    <w:p w14:paraId="7EF3DA12" w14:textId="0EB75029" w:rsidR="00993E9B" w:rsidRDefault="00993E9B" w:rsidP="00993E9B">
      <w:r>
        <w:t xml:space="preserve">In the following sections, we provide our views on the </w:t>
      </w:r>
      <w:r w:rsidR="0051387B">
        <w:t xml:space="preserve">RF requirements and antenna parameters of the </w:t>
      </w:r>
      <w:r w:rsidR="003D74A8" w:rsidRPr="004A7143">
        <w:t>14800 to 15350 MH</w:t>
      </w:r>
      <w:r w:rsidR="003D74A8">
        <w:rPr>
          <w:bCs/>
        </w:rPr>
        <w:t xml:space="preserve"> </w:t>
      </w:r>
      <w:r w:rsidR="0051387B">
        <w:rPr>
          <w:bCs/>
        </w:rPr>
        <w:t>f</w:t>
      </w:r>
      <w:r w:rsidR="0051387B" w:rsidRPr="0055126D">
        <w:rPr>
          <w:bCs/>
        </w:rPr>
        <w:t>requency range</w:t>
      </w:r>
      <w:r w:rsidR="00C447A0">
        <w:t xml:space="preserve">. </w:t>
      </w:r>
    </w:p>
    <w:p w14:paraId="392DE68E" w14:textId="4A5E361A" w:rsidR="00993E9B" w:rsidRDefault="00993E9B" w:rsidP="00993E9B">
      <w:pPr>
        <w:pStyle w:val="Heading1"/>
      </w:pPr>
      <w:r>
        <w:t>2</w:t>
      </w:r>
      <w:r w:rsidR="00C447A0">
        <w:t xml:space="preserve"> </w:t>
      </w:r>
      <w:r w:rsidR="00C447A0">
        <w:tab/>
        <w:t>Discussion</w:t>
      </w:r>
    </w:p>
    <w:p w14:paraId="2539A3FC" w14:textId="5B59EB41" w:rsidR="00791889" w:rsidRDefault="00C447A0" w:rsidP="00993E9B">
      <w:r>
        <w:t xml:space="preserve">There is no defined 3GPP band for the </w:t>
      </w:r>
      <w:r w:rsidR="00C16CAD" w:rsidRPr="004A7143">
        <w:t>14800 to 15350</w:t>
      </w:r>
      <w:r>
        <w:rPr>
          <w:bCs/>
        </w:rPr>
        <w:t xml:space="preserve"> MHz f</w:t>
      </w:r>
      <w:r w:rsidRPr="0055126D">
        <w:rPr>
          <w:bCs/>
        </w:rPr>
        <w:t>requency range</w:t>
      </w:r>
      <w:r w:rsidR="00C16CAD">
        <w:t>. Relevant previous study can be found in [3]</w:t>
      </w:r>
      <w:r w:rsidR="00292411">
        <w:t xml:space="preserve">, which provides information on the feasibility of NR operation in 7 – 24 GHz frequency range for set of potential deployment scenarios, considering BS RF and UE RF technology capabilities. </w:t>
      </w:r>
    </w:p>
    <w:p w14:paraId="6563B263" w14:textId="19969FF0" w:rsidR="00B25ED1" w:rsidRDefault="00B25ED1" w:rsidP="00161208">
      <w:pPr>
        <w:rPr>
          <w:b/>
          <w:bCs/>
          <w:u w:val="single"/>
          <w:lang w:eastAsia="ja-JP"/>
        </w:rPr>
      </w:pPr>
      <w:r>
        <w:rPr>
          <w:b/>
          <w:bCs/>
          <w:u w:val="single"/>
          <w:lang w:eastAsia="ja-JP"/>
        </w:rPr>
        <w:t xml:space="preserve">Duplexing </w:t>
      </w:r>
    </w:p>
    <w:p w14:paraId="2128DF42" w14:textId="5BF78F87" w:rsidR="00B25ED1" w:rsidRDefault="00E55098" w:rsidP="00161208">
      <w:pPr>
        <w:rPr>
          <w:lang w:eastAsia="ja-JP"/>
        </w:rPr>
      </w:pPr>
      <w:r>
        <w:rPr>
          <w:lang w:eastAsia="ja-JP"/>
        </w:rPr>
        <w:t>TR 38.921 considered TDD as a baseline for</w:t>
      </w:r>
      <w:r w:rsidR="00BE07F8">
        <w:rPr>
          <w:lang w:eastAsia="ja-JP"/>
        </w:rPr>
        <w:t xml:space="preserve"> 10GHz study</w:t>
      </w:r>
      <w:r w:rsidR="007E5730">
        <w:rPr>
          <w:lang w:eastAsia="ja-JP"/>
        </w:rPr>
        <w:t xml:space="preserve">. </w:t>
      </w:r>
      <w:r w:rsidR="00BE07F8">
        <w:rPr>
          <w:lang w:eastAsia="ja-JP"/>
        </w:rPr>
        <w:t>In addition,</w:t>
      </w:r>
      <w:r w:rsidR="007F372E">
        <w:rPr>
          <w:lang w:eastAsia="ja-JP"/>
        </w:rPr>
        <w:t xml:space="preserve"> </w:t>
      </w:r>
      <w:r w:rsidR="001803A2">
        <w:rPr>
          <w:lang w:eastAsia="ja-JP"/>
        </w:rPr>
        <w:t>3GPP</w:t>
      </w:r>
      <w:r w:rsidR="007F372E">
        <w:rPr>
          <w:lang w:eastAsia="ja-JP"/>
        </w:rPr>
        <w:t xml:space="preserve"> has studied </w:t>
      </w:r>
      <w:r w:rsidR="00BE07F8">
        <w:rPr>
          <w:lang w:eastAsia="ja-JP"/>
        </w:rPr>
        <w:t xml:space="preserve">in Rel-18 </w:t>
      </w:r>
      <w:r w:rsidR="001803A2">
        <w:rPr>
          <w:lang w:eastAsia="ja-JP"/>
        </w:rPr>
        <w:t xml:space="preserve">non-overlapping subband full duplex (SBFD) and the results of the study are captured in TR 38.858. </w:t>
      </w:r>
      <w:r w:rsidR="00391215">
        <w:rPr>
          <w:lang w:eastAsia="ja-JP"/>
        </w:rPr>
        <w:t xml:space="preserve">Based on the study output, a new </w:t>
      </w:r>
      <w:r w:rsidR="00391215">
        <w:t>work</w:t>
      </w:r>
      <w:r w:rsidR="00391215" w:rsidRPr="00785E35">
        <w:t xml:space="preserve"> item </w:t>
      </w:r>
      <w:r w:rsidR="00EC7443">
        <w:rPr>
          <w:lang w:eastAsia="ja-JP"/>
        </w:rPr>
        <w:t>in [</w:t>
      </w:r>
      <w:r w:rsidR="000F58C5">
        <w:rPr>
          <w:lang w:eastAsia="ja-JP"/>
        </w:rPr>
        <w:t>4</w:t>
      </w:r>
      <w:r w:rsidR="00EC7443">
        <w:rPr>
          <w:lang w:eastAsia="ja-JP"/>
        </w:rPr>
        <w:t xml:space="preserve">] </w:t>
      </w:r>
      <w:r w:rsidR="00391215" w:rsidRPr="00785E35">
        <w:t xml:space="preserve">on </w:t>
      </w:r>
      <w:r w:rsidR="00391215">
        <w:t>e</w:t>
      </w:r>
      <w:r w:rsidR="00391215" w:rsidRPr="00EB0730">
        <w:t>volution of NR duplex operation</w:t>
      </w:r>
      <w:r w:rsidR="00391215">
        <w:t xml:space="preserve"> </w:t>
      </w:r>
      <w:r w:rsidR="00391215" w:rsidRPr="00E95917">
        <w:t>was approved</w:t>
      </w:r>
      <w:r w:rsidR="000644E6">
        <w:rPr>
          <w:lang w:eastAsia="ja-JP"/>
        </w:rPr>
        <w:t xml:space="preserve"> </w:t>
      </w:r>
      <w:r w:rsidR="00391215">
        <w:rPr>
          <w:lang w:eastAsia="ja-JP"/>
        </w:rPr>
        <w:t>during RAN#103</w:t>
      </w:r>
      <w:r w:rsidR="00D61AB0">
        <w:rPr>
          <w:lang w:eastAsia="ja-JP"/>
        </w:rPr>
        <w:t xml:space="preserve"> meeting.</w:t>
      </w:r>
      <w:r w:rsidR="00391215">
        <w:rPr>
          <w:lang w:eastAsia="ja-JP"/>
        </w:rPr>
        <w:t xml:space="preserve"> </w:t>
      </w:r>
      <w:r w:rsidR="00F01C01">
        <w:rPr>
          <w:lang w:eastAsia="ja-JP"/>
        </w:rPr>
        <w:t>Since this SI aims at providing parameters to WP5D to be used in sharing studies for WRC-27, it is worth noting that SBFD adoption in such studies is similar to dynamic TDD scenarios from coexistence point of view.</w:t>
      </w:r>
    </w:p>
    <w:p w14:paraId="642C9F84" w14:textId="27C55C51" w:rsidR="00A727B4" w:rsidRPr="00AD7C44" w:rsidRDefault="00A727B4" w:rsidP="00161208">
      <w:pPr>
        <w:rPr>
          <w:b/>
          <w:bCs/>
          <w:lang w:eastAsia="ja-JP"/>
        </w:rPr>
      </w:pPr>
      <w:r w:rsidRPr="00F076B6">
        <w:rPr>
          <w:b/>
          <w:bCs/>
          <w:u w:val="single"/>
          <w:lang w:eastAsia="ja-JP"/>
        </w:rPr>
        <w:t>Proposal</w:t>
      </w:r>
      <w:r w:rsidR="00AD7C44" w:rsidRPr="00F076B6">
        <w:rPr>
          <w:b/>
          <w:bCs/>
          <w:u w:val="single"/>
          <w:lang w:eastAsia="ja-JP"/>
        </w:rPr>
        <w:t xml:space="preserve"> 1</w:t>
      </w:r>
      <w:r w:rsidRPr="00AD7C44">
        <w:rPr>
          <w:b/>
          <w:bCs/>
          <w:lang w:eastAsia="ja-JP"/>
        </w:rPr>
        <w:t xml:space="preserve">: </w:t>
      </w:r>
      <w:r w:rsidR="00AD7C44" w:rsidRPr="00AD7C44">
        <w:rPr>
          <w:b/>
          <w:bCs/>
        </w:rPr>
        <w:t xml:space="preserve">For </w:t>
      </w:r>
      <w:r w:rsidR="00AC7669">
        <w:rPr>
          <w:b/>
          <w:bCs/>
        </w:rPr>
        <w:t>duplexing,</w:t>
      </w:r>
      <w:r w:rsidR="00AD7C44" w:rsidRPr="00AD7C44">
        <w:rPr>
          <w:b/>
          <w:bCs/>
          <w:lang w:eastAsia="ja-JP"/>
        </w:rPr>
        <w:t xml:space="preserve"> </w:t>
      </w:r>
      <w:r w:rsidRPr="00AD7C44">
        <w:rPr>
          <w:b/>
          <w:bCs/>
          <w:lang w:eastAsia="ja-JP"/>
        </w:rPr>
        <w:t xml:space="preserve">RAN4 to assume TDD as a baseline </w:t>
      </w:r>
      <w:r w:rsidR="00AD7C44" w:rsidRPr="00AD7C44">
        <w:rPr>
          <w:b/>
          <w:bCs/>
          <w:lang w:eastAsia="ja-JP"/>
        </w:rPr>
        <w:t xml:space="preserve">further study the applicability of subband full duplex operation. </w:t>
      </w:r>
    </w:p>
    <w:p w14:paraId="48F4E0ED" w14:textId="38CE8226" w:rsidR="00D4248B" w:rsidRPr="00D4248B" w:rsidRDefault="00D4248B" w:rsidP="00161208">
      <w:pPr>
        <w:rPr>
          <w:b/>
          <w:bCs/>
          <w:u w:val="single"/>
          <w:lang w:eastAsia="ja-JP"/>
        </w:rPr>
      </w:pPr>
      <w:r w:rsidRPr="00D4248B">
        <w:rPr>
          <w:b/>
          <w:bCs/>
          <w:u w:val="single"/>
          <w:lang w:eastAsia="ja-JP"/>
        </w:rPr>
        <w:t>Channel bandwidth</w:t>
      </w:r>
    </w:p>
    <w:p w14:paraId="7D9EA049" w14:textId="0B55900D" w:rsidR="00D4248B" w:rsidRDefault="00F57B90" w:rsidP="00161208">
      <w:r>
        <w:t xml:space="preserve">In general, wider channel bandwidths should be enabled with increasing frequency following same approach as FR1 (3 to 100 MHz) to FR2 (50 to 400 MHz). This comes with increasing SCS and increasing RB width and availability of the spectrum. </w:t>
      </w:r>
      <w:r w:rsidR="00AE510F">
        <w:t xml:space="preserve">Channel bandwidth of </w:t>
      </w:r>
      <w:r w:rsidR="00AE510F" w:rsidRPr="00B11736">
        <w:t>100 MHz has been considered as a representative channel bandwidth</w:t>
      </w:r>
      <w:r w:rsidR="00AE510F">
        <w:t xml:space="preserve"> in TR 38.921 for 6GHz and 10GHz. </w:t>
      </w:r>
      <w:r w:rsidR="002D37EF">
        <w:t xml:space="preserve">Accordingly, it is proposed that </w:t>
      </w:r>
      <w:r w:rsidR="00B11736">
        <w:t xml:space="preserve">higher channel bandwidth (e.g., 200 MHz) should not be precluded at this stage </w:t>
      </w:r>
      <w:r w:rsidR="007855B3">
        <w:t xml:space="preserve">within RAN4. </w:t>
      </w:r>
    </w:p>
    <w:p w14:paraId="295DA252" w14:textId="74AB16CC" w:rsidR="007855B3" w:rsidRDefault="007855B3" w:rsidP="00161208">
      <w:pPr>
        <w:rPr>
          <w:b/>
          <w:bCs/>
        </w:rPr>
      </w:pPr>
      <w:r w:rsidRPr="00F076B6">
        <w:rPr>
          <w:b/>
          <w:bCs/>
          <w:u w:val="single"/>
        </w:rPr>
        <w:t xml:space="preserve">Proposal </w:t>
      </w:r>
      <w:r w:rsidR="00F076B6">
        <w:rPr>
          <w:b/>
          <w:bCs/>
          <w:u w:val="single"/>
        </w:rPr>
        <w:t>2</w:t>
      </w:r>
      <w:r w:rsidRPr="00915421">
        <w:rPr>
          <w:b/>
          <w:bCs/>
        </w:rPr>
        <w:t xml:space="preserve">: </w:t>
      </w:r>
      <w:r w:rsidR="00B75FB9">
        <w:rPr>
          <w:b/>
          <w:bCs/>
        </w:rPr>
        <w:t>RAN4 to consider 100 MHz as a baseline and investigate the feasibility of higher channel bandwidth (e.g., 200 MHz).</w:t>
      </w:r>
    </w:p>
    <w:p w14:paraId="2E988D4C" w14:textId="2C645212" w:rsidR="00FF6EC9" w:rsidRDefault="00FF6EC9" w:rsidP="00FF6EC9">
      <w:pPr>
        <w:pStyle w:val="Heading2"/>
      </w:pPr>
      <w:r>
        <w:lastRenderedPageBreak/>
        <w:t>2.1</w:t>
      </w:r>
      <w:r>
        <w:tab/>
        <w:t>BS parameters</w:t>
      </w:r>
    </w:p>
    <w:p w14:paraId="7732D646" w14:textId="2F85B2D2" w:rsidR="00465A5D" w:rsidRDefault="00741F1C" w:rsidP="00F076B6">
      <w:r>
        <w:t xml:space="preserve">As several </w:t>
      </w:r>
      <w:r w:rsidR="008B0E6C">
        <w:t xml:space="preserve">BS </w:t>
      </w:r>
      <w:r>
        <w:t xml:space="preserve">RF requirements were studied for </w:t>
      </w:r>
      <w:r w:rsidR="008B0E6C" w:rsidRPr="008B0E6C">
        <w:t>6.425-7.025</w:t>
      </w:r>
      <w:r w:rsidR="008B0E6C">
        <w:t xml:space="preserve"> </w:t>
      </w:r>
      <w:r w:rsidR="008B0E6C" w:rsidRPr="008B0E6C">
        <w:t>GHz</w:t>
      </w:r>
      <w:r w:rsidR="008B0E6C">
        <w:t xml:space="preserve"> and </w:t>
      </w:r>
      <w:r w:rsidR="008B0E6C" w:rsidRPr="008B0E6C">
        <w:t>7.025-7.125</w:t>
      </w:r>
      <w:r w:rsidR="008B0E6C">
        <w:t xml:space="preserve"> </w:t>
      </w:r>
      <w:r w:rsidR="008B0E6C" w:rsidRPr="008B0E6C">
        <w:t>GHz</w:t>
      </w:r>
      <w:r w:rsidR="008B0E6C">
        <w:t xml:space="preserve"> in [2], </w:t>
      </w:r>
      <w:r w:rsidR="00C12964">
        <w:t xml:space="preserve">and for 7-24 GHz as provided in [3], RAN4 should assess the </w:t>
      </w:r>
      <w:r w:rsidR="003F73B2">
        <w:t xml:space="preserve">applicability and feasibility of technology aspects captured in [2, 3] </w:t>
      </w:r>
      <w:r w:rsidR="00465A5D">
        <w:t xml:space="preserve">for the </w:t>
      </w:r>
      <w:r w:rsidR="00465A5D" w:rsidRPr="00465A5D">
        <w:t xml:space="preserve">14 </w:t>
      </w:r>
      <w:r w:rsidR="00465A5D">
        <w:t>.</w:t>
      </w:r>
      <w:r w:rsidR="00465A5D" w:rsidRPr="00465A5D">
        <w:t>8</w:t>
      </w:r>
      <w:r w:rsidR="00465A5D">
        <w:t xml:space="preserve"> – </w:t>
      </w:r>
      <w:r w:rsidR="00465A5D" w:rsidRPr="00465A5D">
        <w:t>15</w:t>
      </w:r>
      <w:r w:rsidR="00465A5D">
        <w:t>.</w:t>
      </w:r>
      <w:r w:rsidR="00465A5D" w:rsidRPr="00465A5D">
        <w:t xml:space="preserve">35 </w:t>
      </w:r>
      <w:r w:rsidR="00465A5D">
        <w:t>G</w:t>
      </w:r>
      <w:r w:rsidR="00465A5D" w:rsidRPr="00465A5D">
        <w:t>Hz</w:t>
      </w:r>
      <w:r w:rsidR="00382370">
        <w:t xml:space="preserve"> frequency range</w:t>
      </w:r>
      <w:r w:rsidR="00465A5D">
        <w:t>.</w:t>
      </w:r>
    </w:p>
    <w:p w14:paraId="1498B145" w14:textId="547A6C88" w:rsidR="00BB0108" w:rsidRDefault="00BB0108" w:rsidP="00F076B6">
      <w:pPr>
        <w:rPr>
          <w:b/>
          <w:bCs/>
        </w:rPr>
      </w:pPr>
      <w:r w:rsidRPr="00AC7669">
        <w:rPr>
          <w:b/>
          <w:bCs/>
          <w:u w:val="single"/>
        </w:rPr>
        <w:t xml:space="preserve">Proposal </w:t>
      </w:r>
      <w:r w:rsidR="0091658C">
        <w:rPr>
          <w:b/>
          <w:bCs/>
          <w:u w:val="single"/>
        </w:rPr>
        <w:t>3</w:t>
      </w:r>
      <w:r w:rsidRPr="00BB0108">
        <w:rPr>
          <w:b/>
          <w:bCs/>
        </w:rPr>
        <w:t xml:space="preserve">: RAN4 </w:t>
      </w:r>
      <w:r w:rsidR="00465A5D">
        <w:rPr>
          <w:b/>
          <w:bCs/>
        </w:rPr>
        <w:t xml:space="preserve">to study the applicability and feasibility of </w:t>
      </w:r>
      <w:r w:rsidR="00216130">
        <w:rPr>
          <w:b/>
          <w:bCs/>
        </w:rPr>
        <w:t>requirements and technology capabilities</w:t>
      </w:r>
      <w:r w:rsidR="00465A5D">
        <w:rPr>
          <w:b/>
          <w:bCs/>
        </w:rPr>
        <w:t xml:space="preserve"> in TR 38.820 and TR 38.921 </w:t>
      </w:r>
      <w:r w:rsidR="00991A72">
        <w:rPr>
          <w:b/>
          <w:bCs/>
        </w:rPr>
        <w:t>for</w:t>
      </w:r>
      <w:r w:rsidR="00216130">
        <w:rPr>
          <w:b/>
          <w:bCs/>
        </w:rPr>
        <w:t xml:space="preserve"> relevance </w:t>
      </w:r>
      <w:r w:rsidR="00991A72">
        <w:rPr>
          <w:b/>
          <w:bCs/>
        </w:rPr>
        <w:t xml:space="preserve">in </w:t>
      </w:r>
      <w:r w:rsidR="00216130">
        <w:rPr>
          <w:b/>
          <w:bCs/>
        </w:rPr>
        <w:t xml:space="preserve">the 14.8 – 15.35 GHz frequency range. </w:t>
      </w:r>
    </w:p>
    <w:p w14:paraId="107C9899" w14:textId="2411E4B9" w:rsidR="00C93632" w:rsidRPr="009C5EBE" w:rsidRDefault="00D76887" w:rsidP="00C93632">
      <w:r>
        <w:t xml:space="preserve">For the BS AAS parameters, </w:t>
      </w:r>
      <w:r w:rsidR="000748BF">
        <w:t xml:space="preserve">it is expected that large number of arrays to be deployed at the gNB to compensate for the incurred propagation losses at this frequency range. </w:t>
      </w:r>
      <w:r w:rsidR="00B57C2C" w:rsidRPr="0F4A4BAB">
        <w:rPr>
          <w:lang w:val="en-US"/>
        </w:rPr>
        <w:t xml:space="preserve">Accordingly, RAN4 will need to further discuss how to scale the number of elements from </w:t>
      </w:r>
      <w:r w:rsidR="009C5EBE" w:rsidRPr="0F4A4BAB">
        <w:rPr>
          <w:lang w:val="en-US"/>
        </w:rPr>
        <w:t>FR1 assumptions</w:t>
      </w:r>
      <w:r w:rsidR="00B57C2C" w:rsidRPr="0F4A4BAB">
        <w:rPr>
          <w:lang w:val="en-US"/>
        </w:rPr>
        <w:t xml:space="preserve"> to the </w:t>
      </w:r>
      <w:r w:rsidR="000D285C">
        <w:rPr>
          <w:lang w:val="en-US"/>
        </w:rPr>
        <w:t>15 GHz</w:t>
      </w:r>
      <w:r w:rsidR="6C638A6A" w:rsidRPr="0F4A4BAB">
        <w:rPr>
          <w:lang w:val="en-US"/>
        </w:rPr>
        <w:t xml:space="preserve"> band</w:t>
      </w:r>
      <w:r w:rsidR="00B57C2C" w:rsidRPr="0F4A4BAB">
        <w:rPr>
          <w:lang w:val="en-US"/>
        </w:rPr>
        <w:t xml:space="preserve"> to meet the coverage requirements as well as the design AAS architecture challenges. </w:t>
      </w:r>
    </w:p>
    <w:p w14:paraId="5FB8C466" w14:textId="77777777" w:rsidR="00B27918" w:rsidRDefault="00B27918" w:rsidP="00B27918">
      <w:pPr>
        <w:rPr>
          <w:b/>
          <w:bCs/>
        </w:rPr>
      </w:pPr>
      <w:r w:rsidRPr="00AC7669">
        <w:rPr>
          <w:b/>
          <w:bCs/>
          <w:u w:val="single"/>
        </w:rPr>
        <w:t xml:space="preserve">Proposal </w:t>
      </w:r>
      <w:r>
        <w:rPr>
          <w:b/>
          <w:bCs/>
          <w:u w:val="single"/>
        </w:rPr>
        <w:t>4</w:t>
      </w:r>
      <w:r w:rsidRPr="00297A8F">
        <w:rPr>
          <w:b/>
          <w:bCs/>
        </w:rPr>
        <w:t xml:space="preserve">: RAN4 to </w:t>
      </w:r>
      <w:r>
        <w:rPr>
          <w:b/>
          <w:bCs/>
        </w:rPr>
        <w:t>study feasibility</w:t>
      </w:r>
      <w:r w:rsidRPr="00297A8F">
        <w:rPr>
          <w:b/>
          <w:bCs/>
        </w:rPr>
        <w:t xml:space="preserve"> of </w:t>
      </w:r>
      <w:r>
        <w:rPr>
          <w:b/>
          <w:bCs/>
        </w:rPr>
        <w:t>deploying larger</w:t>
      </w:r>
      <w:r w:rsidRPr="00297A8F">
        <w:rPr>
          <w:b/>
          <w:bCs/>
        </w:rPr>
        <w:t xml:space="preserve"> </w:t>
      </w:r>
      <w:r>
        <w:rPr>
          <w:b/>
          <w:bCs/>
        </w:rPr>
        <w:t>number of antenna elements in the BS compared to FR1 for the 15 GHz range.</w:t>
      </w:r>
    </w:p>
    <w:p w14:paraId="55BEFF5F" w14:textId="13AAEB20" w:rsidR="00297A8F" w:rsidRDefault="00297A8F" w:rsidP="00F076B6">
      <w:pPr>
        <w:rPr>
          <w:lang w:val="en-US"/>
        </w:rPr>
      </w:pPr>
      <w:r>
        <w:t xml:space="preserve">Another important AAS aspect is the underlying AAS pattern model. </w:t>
      </w:r>
      <w:r w:rsidR="0066665A">
        <w:t xml:space="preserve">For </w:t>
      </w:r>
      <w:r w:rsidR="0066665A">
        <w:rPr>
          <w:lang w:val="en-US"/>
        </w:rPr>
        <w:t>1710 – 4990 MHz</w:t>
      </w:r>
      <w:r w:rsidR="0066665A">
        <w:t xml:space="preserve"> frequency range, an </w:t>
      </w:r>
      <w:r w:rsidR="0066665A">
        <w:rPr>
          <w:lang w:val="en-US"/>
        </w:rPr>
        <w:t>extended version of the AAS array antenna model is in TR 38.803, subclause 5.2.3.2.4 to support vertical sub-array geometries</w:t>
      </w:r>
      <w:r w:rsidR="0066665A" w:rsidRPr="00540DBD">
        <w:t xml:space="preserve"> </w:t>
      </w:r>
      <w:r w:rsidR="0066665A">
        <w:t xml:space="preserve">with fixed </w:t>
      </w:r>
      <w:r w:rsidR="0066665A" w:rsidRPr="00D51E6B">
        <w:t>sub-array down-tilt</w:t>
      </w:r>
      <w:r w:rsidR="0066665A">
        <w:rPr>
          <w:lang w:val="en-US"/>
        </w:rPr>
        <w:t>.</w:t>
      </w:r>
      <w:r w:rsidR="00914E18">
        <w:rPr>
          <w:lang w:val="en-US"/>
        </w:rPr>
        <w:t xml:space="preserve"> </w:t>
      </w:r>
      <w:r w:rsidR="00317293">
        <w:rPr>
          <w:lang w:val="en-US"/>
        </w:rPr>
        <w:t>However, during Rel-17 discussions</w:t>
      </w:r>
      <w:r w:rsidR="00E96224">
        <w:rPr>
          <w:lang w:val="en-US"/>
        </w:rPr>
        <w:t xml:space="preserve"> [4]</w:t>
      </w:r>
      <w:r w:rsidR="00317293">
        <w:rPr>
          <w:lang w:val="en-US"/>
        </w:rPr>
        <w:t xml:space="preserve">, </w:t>
      </w:r>
      <w:r w:rsidR="00A03963">
        <w:rPr>
          <w:lang w:val="en-US"/>
        </w:rPr>
        <w:t xml:space="preserve">some concerns were </w:t>
      </w:r>
      <w:r w:rsidR="000A56A5">
        <w:rPr>
          <w:lang w:val="en-US"/>
        </w:rPr>
        <w:t xml:space="preserve">raised </w:t>
      </w:r>
      <w:r w:rsidR="00A03963">
        <w:rPr>
          <w:lang w:val="en-US"/>
        </w:rPr>
        <w:t xml:space="preserve">about the implication on the applicability of the subarray model along with the given parameters on </w:t>
      </w:r>
      <w:r w:rsidR="00E96224">
        <w:rPr>
          <w:lang w:val="en-US"/>
        </w:rPr>
        <w:t xml:space="preserve">coexisting with other incumbents. It is thus important to discuss within RAN4 whether the sub-array extended model would be applicable or the single element suffices for </w:t>
      </w:r>
      <w:r w:rsidR="00017D94">
        <w:rPr>
          <w:lang w:val="en-US"/>
        </w:rPr>
        <w:t xml:space="preserve">AAS </w:t>
      </w:r>
      <w:r w:rsidR="00DA0865">
        <w:rPr>
          <w:lang w:val="en-US"/>
        </w:rPr>
        <w:t>modelling</w:t>
      </w:r>
      <w:r w:rsidR="00017D94">
        <w:rPr>
          <w:lang w:val="en-US"/>
        </w:rPr>
        <w:t xml:space="preserve"> in </w:t>
      </w:r>
      <w:r w:rsidR="00E96224">
        <w:rPr>
          <w:lang w:val="en-US"/>
        </w:rPr>
        <w:t xml:space="preserve">the </w:t>
      </w:r>
      <w:r w:rsidR="00765938">
        <w:rPr>
          <w:lang w:val="en-US"/>
        </w:rPr>
        <w:t>14.8 – 15.35</w:t>
      </w:r>
      <w:r w:rsidR="00E96224" w:rsidRPr="00E96224">
        <w:rPr>
          <w:lang w:val="en-US"/>
        </w:rPr>
        <w:t xml:space="preserve"> MHz frequency range.</w:t>
      </w:r>
    </w:p>
    <w:p w14:paraId="78F28EE6" w14:textId="7DBB2B57" w:rsidR="00E96224" w:rsidRPr="00F546F1" w:rsidRDefault="00E96224" w:rsidP="00F076B6">
      <w:pPr>
        <w:rPr>
          <w:b/>
          <w:bCs/>
        </w:rPr>
      </w:pPr>
      <w:r w:rsidRPr="00AC7669">
        <w:rPr>
          <w:b/>
          <w:bCs/>
          <w:u w:val="single"/>
        </w:rPr>
        <w:t xml:space="preserve">Proposal </w:t>
      </w:r>
      <w:r w:rsidR="000970DC">
        <w:rPr>
          <w:b/>
          <w:bCs/>
          <w:u w:val="single"/>
        </w:rPr>
        <w:t>5</w:t>
      </w:r>
      <w:r w:rsidRPr="00F546F1">
        <w:rPr>
          <w:b/>
          <w:bCs/>
        </w:rPr>
        <w:t xml:space="preserve">: RAN4 to discuss whether the sub-array model is </w:t>
      </w:r>
      <w:r w:rsidR="00F546F1" w:rsidRPr="00F546F1">
        <w:rPr>
          <w:b/>
          <w:bCs/>
        </w:rPr>
        <w:t>applicable,</w:t>
      </w:r>
      <w:r w:rsidRPr="00F546F1">
        <w:rPr>
          <w:b/>
          <w:bCs/>
        </w:rPr>
        <w:t xml:space="preserve"> </w:t>
      </w:r>
      <w:r w:rsidR="00F546F1" w:rsidRPr="00F546F1">
        <w:rPr>
          <w:b/>
          <w:bCs/>
        </w:rPr>
        <w:t>or the single element suffices</w:t>
      </w:r>
      <w:r w:rsidR="00017D94">
        <w:rPr>
          <w:b/>
          <w:bCs/>
        </w:rPr>
        <w:t xml:space="preserve"> for AAS </w:t>
      </w:r>
      <w:r w:rsidR="002626C4">
        <w:rPr>
          <w:b/>
          <w:bCs/>
        </w:rPr>
        <w:t>modelling</w:t>
      </w:r>
      <w:r w:rsidR="00017D94">
        <w:rPr>
          <w:b/>
          <w:bCs/>
        </w:rPr>
        <w:t xml:space="preserve"> in the </w:t>
      </w:r>
      <w:r w:rsidR="00372F65" w:rsidRPr="00372F65">
        <w:rPr>
          <w:b/>
          <w:bCs/>
        </w:rPr>
        <w:t>14.8 – 15.35 MHz frequency range</w:t>
      </w:r>
      <w:r w:rsidR="00AC7669">
        <w:rPr>
          <w:b/>
          <w:bCs/>
        </w:rPr>
        <w:t>.</w:t>
      </w:r>
    </w:p>
    <w:p w14:paraId="0B177E00" w14:textId="1FAD41A0" w:rsidR="00FF6EC9" w:rsidRDefault="00FF6EC9" w:rsidP="00FF6EC9">
      <w:pPr>
        <w:pStyle w:val="Heading2"/>
      </w:pPr>
      <w:r>
        <w:t>2.2</w:t>
      </w:r>
      <w:r>
        <w:tab/>
        <w:t xml:space="preserve">UE parameters </w:t>
      </w:r>
    </w:p>
    <w:p w14:paraId="0ED573C2" w14:textId="3307AF3B" w:rsidR="001D538E" w:rsidRPr="003465F6" w:rsidRDefault="001D538E" w:rsidP="001D538E">
      <w:pPr>
        <w:rPr>
          <w:b/>
          <w:bCs/>
          <w:u w:val="single"/>
        </w:rPr>
      </w:pPr>
      <w:r w:rsidRPr="003465F6">
        <w:rPr>
          <w:b/>
          <w:bCs/>
          <w:u w:val="single"/>
        </w:rPr>
        <w:t>Maximum Output power</w:t>
      </w:r>
    </w:p>
    <w:p w14:paraId="6F3ADBE2" w14:textId="74B4BDE4" w:rsidR="009570AD" w:rsidRDefault="009570AD" w:rsidP="001D538E">
      <w:r>
        <w:t xml:space="preserve">PC3 was assumed during Rel-17 work on 7GHz as captured in [2]. On the other hand, 3GPP has studied </w:t>
      </w:r>
      <w:r w:rsidR="002F21B4">
        <w:t xml:space="preserve">high power UEs during Rel-17 covering </w:t>
      </w:r>
      <w:r w:rsidRPr="009570AD">
        <w:t>high-power UE (power class 1.5) operation in NR bands n77 and n78 (RP-202912), high power UE for NR TDD intra-band Carrier Aggregation in frequency range FR1 (RP-221774), and high-power UE operation for fixed-wireless/vehicle-mounted use cases in LTE bands and NR bands (RP-221795).</w:t>
      </w:r>
      <w:r w:rsidR="002F21B4">
        <w:t xml:space="preserve"> Accordingly, we propose </w:t>
      </w:r>
      <w:r w:rsidR="000B3A88">
        <w:t xml:space="preserve">for RAN4 to study the feasibility of specifying higher output power than 23 dBm. </w:t>
      </w:r>
    </w:p>
    <w:p w14:paraId="0EAB182D" w14:textId="4B8B6BE1" w:rsidR="000B3A88" w:rsidRDefault="000B3A88" w:rsidP="001D538E">
      <w:pPr>
        <w:rPr>
          <w:b/>
          <w:bCs/>
        </w:rPr>
      </w:pPr>
      <w:r w:rsidRPr="003465F6">
        <w:rPr>
          <w:b/>
          <w:bCs/>
          <w:u w:val="single"/>
        </w:rPr>
        <w:t xml:space="preserve">Proposal </w:t>
      </w:r>
      <w:r w:rsidR="00D72686">
        <w:rPr>
          <w:b/>
          <w:bCs/>
          <w:u w:val="single"/>
        </w:rPr>
        <w:t>6</w:t>
      </w:r>
      <w:r w:rsidRPr="003465F6">
        <w:rPr>
          <w:b/>
          <w:bCs/>
        </w:rPr>
        <w:t xml:space="preserve">: </w:t>
      </w:r>
      <w:r w:rsidR="00765938">
        <w:rPr>
          <w:b/>
          <w:bCs/>
        </w:rPr>
        <w:t xml:space="preserve">RAN4 to </w:t>
      </w:r>
      <w:r w:rsidR="002F2AB9">
        <w:rPr>
          <w:b/>
          <w:bCs/>
        </w:rPr>
        <w:t xml:space="preserve">discuss the </w:t>
      </w:r>
      <w:r w:rsidR="00B92A0F">
        <w:rPr>
          <w:b/>
          <w:bCs/>
        </w:rPr>
        <w:t xml:space="preserve">feasibility </w:t>
      </w:r>
      <w:r w:rsidR="002F2AB9">
        <w:rPr>
          <w:b/>
          <w:bCs/>
        </w:rPr>
        <w:t xml:space="preserve">of high power UEs. </w:t>
      </w:r>
      <w:r w:rsidR="00765938">
        <w:rPr>
          <w:b/>
          <w:bCs/>
        </w:rPr>
        <w:t xml:space="preserve"> </w:t>
      </w:r>
      <w:r w:rsidR="003465F6" w:rsidRPr="003465F6">
        <w:rPr>
          <w:b/>
          <w:bCs/>
        </w:rPr>
        <w:t xml:space="preserve"> </w:t>
      </w:r>
    </w:p>
    <w:p w14:paraId="77B4BA24" w14:textId="7ACABEEC" w:rsidR="00990CAD" w:rsidRDefault="00990CAD" w:rsidP="001D538E">
      <w:pPr>
        <w:rPr>
          <w:b/>
          <w:bCs/>
          <w:u w:val="single"/>
        </w:rPr>
      </w:pPr>
      <w:r>
        <w:rPr>
          <w:b/>
          <w:bCs/>
          <w:u w:val="single"/>
        </w:rPr>
        <w:t xml:space="preserve">UE </w:t>
      </w:r>
      <w:r w:rsidR="00DD0F13">
        <w:rPr>
          <w:b/>
          <w:bCs/>
          <w:u w:val="single"/>
        </w:rPr>
        <w:t>beamforming</w:t>
      </w:r>
    </w:p>
    <w:p w14:paraId="024DC837" w14:textId="77885541" w:rsidR="00DD0F13" w:rsidRDefault="00DD0F13" w:rsidP="001D538E">
      <w:r>
        <w:t xml:space="preserve">In [2], no UE beamforming was considered and </w:t>
      </w:r>
      <w:r w:rsidR="00F05646">
        <w:t xml:space="preserve">an isotropic antenna with 0 dBi was </w:t>
      </w:r>
      <w:r w:rsidR="006A1A1F">
        <w:t xml:space="preserve">assumed </w:t>
      </w:r>
      <w:r w:rsidR="002F2AB9">
        <w:t>for 7GHz and 10 GHz</w:t>
      </w:r>
      <w:r w:rsidR="00F05646">
        <w:t xml:space="preserve">. </w:t>
      </w:r>
      <w:r w:rsidR="002F2AB9">
        <w:t>In addition, we have the following captured in [3] regarding the UE beamforming:</w:t>
      </w:r>
    </w:p>
    <w:tbl>
      <w:tblPr>
        <w:tblStyle w:val="TableGrid"/>
        <w:tblW w:w="0" w:type="auto"/>
        <w:tblLook w:val="04A0" w:firstRow="1" w:lastRow="0" w:firstColumn="1" w:lastColumn="0" w:noHBand="0" w:noVBand="1"/>
      </w:tblPr>
      <w:tblGrid>
        <w:gridCol w:w="9622"/>
      </w:tblGrid>
      <w:tr w:rsidR="002F2AB9" w14:paraId="583DCEAA" w14:textId="77777777" w:rsidTr="002F2AB9">
        <w:tc>
          <w:tcPr>
            <w:tcW w:w="9622" w:type="dxa"/>
          </w:tcPr>
          <w:p w14:paraId="0DB79E3A" w14:textId="0577AF9C" w:rsidR="002F2AB9" w:rsidRDefault="000078FE" w:rsidP="001D538E">
            <w:r w:rsidRPr="000078FE">
              <w:rPr>
                <w:i/>
                <w:iCs/>
              </w:rPr>
              <w:t>It is important to note that for frequencies close to 24 GHz the antenna array dimensions are similar to the FR2 (24.25 – 52.6 GHz) array dimensions: especially if the UE is a multi-band design which co-locates 28 GHz and 39 GHz antenna arrays in the same volume.  Thus, in a handheld UE supporting both FR2 and 7 – 24 GHz, an antenna array for the upper frequencies in the 7 – 24 GHz range competes for physical space in a handset with an FR2 antenna array, and it is not likely that UE FR2 coverage performance can be traded off to support beamforming arrays in the 7 – 24 GHz frequency range… Thus, from the perspective of potential array size, a radiated requirement with an antenna beamforming assumption may be challenging in handset form factor.</w:t>
            </w:r>
          </w:p>
        </w:tc>
      </w:tr>
    </w:tbl>
    <w:p w14:paraId="79CCD73B" w14:textId="77777777" w:rsidR="002F2AB9" w:rsidRDefault="002F2AB9" w:rsidP="001D538E"/>
    <w:p w14:paraId="24D02BD5" w14:textId="443B97FF" w:rsidR="006E4C77" w:rsidRDefault="006E4C77" w:rsidP="001D538E">
      <w:r>
        <w:t xml:space="preserve">However, there has been development on the UE antenna </w:t>
      </w:r>
      <w:r w:rsidR="00CE53D8">
        <w:t>technology,</w:t>
      </w:r>
      <w:r>
        <w:t xml:space="preserve"> and it is expected that the above conclusions be </w:t>
      </w:r>
      <w:r w:rsidR="0087034A">
        <w:t>revisited</w:t>
      </w:r>
      <w:r>
        <w:t xml:space="preserve"> within the scope of </w:t>
      </w:r>
      <w:r w:rsidR="00DD51B9">
        <w:t xml:space="preserve">providing a reply to WP5D on the </w:t>
      </w:r>
      <w:r w:rsidR="000D285C">
        <w:t>15 GHz</w:t>
      </w:r>
      <w:r w:rsidR="00DD51B9">
        <w:t xml:space="preserve"> frequency range. </w:t>
      </w:r>
      <w:r w:rsidR="00FB6946">
        <w:t xml:space="preserve">Another element that needs to be considered is the impact of UE beamforming on the derivation of the ACLR/ACS requirements for BS and UE. </w:t>
      </w:r>
      <w:r w:rsidR="00211997">
        <w:t xml:space="preserve">With UE beamforming in place, coexistence between adjacent networks is more favourable since the UE added directivity components leads to higher received signal power. However, this comes with the cost of design and complexity at the UE side. </w:t>
      </w:r>
    </w:p>
    <w:p w14:paraId="64CAA8CD" w14:textId="515A7FBF" w:rsidR="008A77DF" w:rsidRPr="00AC7669" w:rsidRDefault="00BE6359" w:rsidP="001D538E">
      <w:pPr>
        <w:rPr>
          <w:b/>
          <w:bCs/>
        </w:rPr>
      </w:pPr>
      <w:r w:rsidRPr="00AC7669">
        <w:rPr>
          <w:b/>
          <w:bCs/>
          <w:u w:val="single"/>
        </w:rPr>
        <w:t xml:space="preserve">Proposal </w:t>
      </w:r>
      <w:r w:rsidR="00D72686">
        <w:rPr>
          <w:b/>
          <w:bCs/>
          <w:u w:val="single"/>
        </w:rPr>
        <w:t>7</w:t>
      </w:r>
      <w:r w:rsidRPr="00BE6359">
        <w:rPr>
          <w:b/>
          <w:bCs/>
        </w:rPr>
        <w:t>:</w:t>
      </w:r>
      <w:r w:rsidR="00FB6946">
        <w:rPr>
          <w:b/>
          <w:bCs/>
        </w:rPr>
        <w:t xml:space="preserve"> </w:t>
      </w:r>
      <w:r w:rsidR="00DD51B9">
        <w:rPr>
          <w:b/>
          <w:bCs/>
        </w:rPr>
        <w:t xml:space="preserve">RAN4 to study </w:t>
      </w:r>
      <w:r w:rsidR="00D72686">
        <w:rPr>
          <w:b/>
          <w:bCs/>
        </w:rPr>
        <w:t xml:space="preserve">the feasibility of </w:t>
      </w:r>
      <w:r w:rsidR="00DD51B9">
        <w:rPr>
          <w:b/>
          <w:bCs/>
        </w:rPr>
        <w:t>UE beamforming</w:t>
      </w:r>
      <w:r w:rsidRPr="00BE6359">
        <w:rPr>
          <w:b/>
          <w:bCs/>
        </w:rPr>
        <w:t xml:space="preserve">. </w:t>
      </w:r>
    </w:p>
    <w:p w14:paraId="2433C7D0" w14:textId="2D458AFA" w:rsidR="00211997" w:rsidRDefault="00211997">
      <w:pPr>
        <w:pStyle w:val="Heading2"/>
      </w:pPr>
      <w:r>
        <w:lastRenderedPageBreak/>
        <w:t xml:space="preserve">2.3 </w:t>
      </w:r>
      <w:r>
        <w:tab/>
        <w:t>Adjacent channel coexistence</w:t>
      </w:r>
    </w:p>
    <w:p w14:paraId="4C58741C" w14:textId="6ED26E97" w:rsidR="00211997" w:rsidRDefault="00211997" w:rsidP="00211997">
      <w:r>
        <w:t xml:space="preserve">Since no previous study has been conducted in this frequency range within 3GPP before, it is expected that adjacent channel coexistence studies will be needed to derive several RF parameters for BS and UE. Since the completion target date for this frequency range is December 2024, it is important to start discussing the coexistence </w:t>
      </w:r>
      <w:r w:rsidR="00E60D19">
        <w:t>parameters</w:t>
      </w:r>
      <w:r>
        <w:t xml:space="preserve"> </w:t>
      </w:r>
      <w:r w:rsidR="00E60D19">
        <w:t xml:space="preserve">early on to provide enough time within RAN4 to finalize the study. </w:t>
      </w:r>
    </w:p>
    <w:p w14:paraId="2ECE295F" w14:textId="37D48767" w:rsidR="00E60D19" w:rsidRDefault="00E60D19" w:rsidP="00211997">
      <w:pPr>
        <w:rPr>
          <w:b/>
          <w:bCs/>
        </w:rPr>
      </w:pPr>
      <w:r w:rsidRPr="00CE53D8">
        <w:rPr>
          <w:b/>
          <w:bCs/>
          <w:u w:val="single"/>
        </w:rPr>
        <w:t>Observation</w:t>
      </w:r>
      <w:r w:rsidR="00CE53D8">
        <w:rPr>
          <w:b/>
          <w:bCs/>
        </w:rPr>
        <w:t xml:space="preserve"> </w:t>
      </w:r>
      <w:r w:rsidR="0091658C">
        <w:rPr>
          <w:b/>
          <w:bCs/>
        </w:rPr>
        <w:t>1</w:t>
      </w:r>
      <w:r w:rsidRPr="00CE53D8">
        <w:rPr>
          <w:b/>
          <w:bCs/>
        </w:rPr>
        <w:t xml:space="preserve">: Since no coexistence study has been conducted </w:t>
      </w:r>
      <w:r w:rsidR="00661D49">
        <w:rPr>
          <w:b/>
          <w:bCs/>
        </w:rPr>
        <w:t xml:space="preserve">in </w:t>
      </w:r>
      <w:r w:rsidRPr="00CE53D8">
        <w:rPr>
          <w:b/>
          <w:bCs/>
        </w:rPr>
        <w:t xml:space="preserve">this frequency range before, it is recommended to start discussions on coexistence assumptions </w:t>
      </w:r>
      <w:r w:rsidR="00CE53D8" w:rsidRPr="00CE53D8">
        <w:rPr>
          <w:b/>
          <w:bCs/>
        </w:rPr>
        <w:t xml:space="preserve">and parameters. </w:t>
      </w:r>
    </w:p>
    <w:p w14:paraId="2DFC4C9C" w14:textId="4451DB74" w:rsidR="00EB6F77" w:rsidRDefault="00EB6F77" w:rsidP="00EB6F77">
      <w:pPr>
        <w:pStyle w:val="Heading3"/>
      </w:pPr>
      <w:r>
        <w:t xml:space="preserve">2.3.1 </w:t>
      </w:r>
      <w:r>
        <w:tab/>
      </w:r>
      <w:r w:rsidRPr="00EB6F77">
        <w:t>Deployment scenarios</w:t>
      </w:r>
    </w:p>
    <w:p w14:paraId="62D6387D" w14:textId="0B91E8D7" w:rsidR="00010E35" w:rsidRPr="00010E35" w:rsidRDefault="00010E35" w:rsidP="00010E35">
      <w:r>
        <w:t xml:space="preserve">In Table 1, we share our views on the expected deployment scenarios to be studied for the </w:t>
      </w:r>
      <w:r w:rsidR="008A6B03">
        <w:t>frequency range of interest.</w:t>
      </w:r>
      <w:r w:rsidR="00920B8C">
        <w:t xml:space="preserve"> It is worth noting that the Dense urban was down prioritized in TR 38.921, since it was not a demanding scenario in terms of ACLR/ACS requirements in Rel-15 study done in TR 38.803. </w:t>
      </w:r>
      <w:r w:rsidR="008A6B03">
        <w:t xml:space="preserve"> </w:t>
      </w:r>
    </w:p>
    <w:p w14:paraId="5FD6C452" w14:textId="022CAE72" w:rsidR="008A6B03" w:rsidRDefault="008A6B03" w:rsidP="008A6B0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Deployment scenarios of interest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2017"/>
        <w:gridCol w:w="2017"/>
        <w:gridCol w:w="2047"/>
        <w:gridCol w:w="2057"/>
      </w:tblGrid>
      <w:tr w:rsidR="00010E35" w14:paraId="53CD15D1" w14:textId="77777777" w:rsidTr="00010E35">
        <w:trPr>
          <w:jc w:val="center"/>
        </w:trPr>
        <w:tc>
          <w:tcPr>
            <w:tcW w:w="0" w:type="auto"/>
            <w:tcBorders>
              <w:top w:val="single" w:sz="4" w:space="0" w:color="auto"/>
              <w:left w:val="single" w:sz="4" w:space="0" w:color="auto"/>
              <w:bottom w:val="single" w:sz="4" w:space="0" w:color="auto"/>
              <w:right w:val="single" w:sz="4" w:space="0" w:color="auto"/>
            </w:tcBorders>
            <w:hideMark/>
          </w:tcPr>
          <w:p w14:paraId="1D056532" w14:textId="77777777" w:rsidR="00010E35" w:rsidRDefault="00010E35">
            <w:pPr>
              <w:pStyle w:val="TAH"/>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B91AC8" w14:textId="77777777" w:rsidR="00010E35" w:rsidRDefault="00010E35">
            <w:pPr>
              <w:pStyle w:val="TAH"/>
              <w:rPr>
                <w:lang w:eastAsia="ja-JP"/>
              </w:rPr>
            </w:pPr>
            <w:r>
              <w:rPr>
                <w:lang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3F4538CF" w14:textId="77777777" w:rsidR="00010E35" w:rsidRDefault="00010E35">
            <w:pPr>
              <w:pStyle w:val="TAH"/>
              <w:rPr>
                <w:lang w:eastAsia="ja-JP"/>
              </w:rPr>
            </w:pPr>
            <w:r>
              <w:rPr>
                <w:lang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9A190A6" w14:textId="77777777" w:rsidR="00010E35" w:rsidRDefault="00010E35">
            <w:pPr>
              <w:pStyle w:val="TAH"/>
              <w:rPr>
                <w:lang w:eastAsia="ja-JP"/>
              </w:rPr>
            </w:pPr>
            <w:r>
              <w:rPr>
                <w:lang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1636EA74" w14:textId="77777777" w:rsidR="00010E35" w:rsidRDefault="00010E35">
            <w:pPr>
              <w:pStyle w:val="TAH"/>
              <w:rPr>
                <w:lang w:eastAsia="ja-JP"/>
              </w:rPr>
            </w:pPr>
            <w:r>
              <w:rPr>
                <w:lang w:eastAsia="ja-JP"/>
              </w:rPr>
              <w:t>Deployment Scenario</w:t>
            </w:r>
          </w:p>
        </w:tc>
      </w:tr>
      <w:tr w:rsidR="00010E35" w14:paraId="09051EDA" w14:textId="77777777" w:rsidTr="00010E3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ADD2C" w14:textId="77777777" w:rsidR="00010E35" w:rsidRDefault="00010E35" w:rsidP="00010E35">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43B49CE5" w14:textId="39322407" w:rsidR="00010E35" w:rsidRDefault="00010E35" w:rsidP="00010E35">
            <w:pPr>
              <w:pStyle w:val="TAC"/>
              <w:rPr>
                <w:lang w:eastAsia="ja-JP"/>
              </w:rPr>
            </w:pPr>
            <w:r w:rsidRPr="005F40BC">
              <w:rPr>
                <w:lang w:eastAsia="ja-JP"/>
              </w:rPr>
              <w:t>NR, 100MHz/ 200MHz</w:t>
            </w:r>
          </w:p>
        </w:tc>
        <w:tc>
          <w:tcPr>
            <w:tcW w:w="0" w:type="auto"/>
            <w:tcBorders>
              <w:top w:val="single" w:sz="4" w:space="0" w:color="auto"/>
              <w:left w:val="single" w:sz="4" w:space="0" w:color="auto"/>
              <w:bottom w:val="single" w:sz="4" w:space="0" w:color="auto"/>
              <w:right w:val="single" w:sz="4" w:space="0" w:color="auto"/>
            </w:tcBorders>
            <w:hideMark/>
          </w:tcPr>
          <w:p w14:paraId="02F3D7B5" w14:textId="4C3CCB3E" w:rsidR="00010E35" w:rsidRDefault="00010E35" w:rsidP="00010E35">
            <w:pPr>
              <w:pStyle w:val="TAC"/>
              <w:rPr>
                <w:lang w:eastAsia="ja-JP"/>
              </w:rPr>
            </w:pPr>
            <w:r>
              <w:rPr>
                <w:lang w:eastAsia="ja-JP"/>
              </w:rPr>
              <w:t>NR, 100MHz/ 200MHz</w:t>
            </w:r>
          </w:p>
        </w:tc>
        <w:tc>
          <w:tcPr>
            <w:tcW w:w="0" w:type="auto"/>
            <w:tcBorders>
              <w:top w:val="single" w:sz="4" w:space="0" w:color="auto"/>
              <w:left w:val="single" w:sz="4" w:space="0" w:color="auto"/>
              <w:bottom w:val="single" w:sz="4" w:space="0" w:color="auto"/>
              <w:right w:val="single" w:sz="4" w:space="0" w:color="auto"/>
            </w:tcBorders>
            <w:hideMark/>
          </w:tcPr>
          <w:p w14:paraId="247B032D" w14:textId="2330E30A" w:rsidR="00010E35" w:rsidRDefault="00010E35" w:rsidP="00010E35">
            <w:pPr>
              <w:pStyle w:val="TAC"/>
              <w:rPr>
                <w:lang w:eastAsia="ja-JP"/>
              </w:rPr>
            </w:pPr>
            <w:r>
              <w:rPr>
                <w:lang w:eastAsia="ja-JP"/>
              </w:rPr>
              <w:t>15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59796" w14:textId="77777777" w:rsidR="00010E35" w:rsidRDefault="00010E35" w:rsidP="00010E35">
            <w:pPr>
              <w:pStyle w:val="TAC"/>
              <w:rPr>
                <w:lang w:eastAsia="ja-JP"/>
              </w:rPr>
            </w:pPr>
            <w:r>
              <w:rPr>
                <w:lang w:eastAsia="ja-JP"/>
              </w:rPr>
              <w:t>Urban macro</w:t>
            </w:r>
          </w:p>
        </w:tc>
      </w:tr>
      <w:tr w:rsidR="00010E35" w14:paraId="26819924" w14:textId="77777777" w:rsidTr="00010E3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D3E01" w14:textId="77777777" w:rsidR="00010E35" w:rsidRDefault="00010E35" w:rsidP="00010E35">
            <w:pPr>
              <w:pStyle w:val="TAC"/>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39BBA3A7" w14:textId="477ADC11" w:rsidR="00010E35" w:rsidRDefault="00010E35" w:rsidP="00010E35">
            <w:pPr>
              <w:pStyle w:val="TAC"/>
              <w:rPr>
                <w:lang w:eastAsia="ja-JP"/>
              </w:rPr>
            </w:pPr>
            <w:r w:rsidRPr="005F40BC">
              <w:rPr>
                <w:lang w:eastAsia="ja-JP"/>
              </w:rPr>
              <w:t>NR, 100MHz/ 200MHz</w:t>
            </w:r>
          </w:p>
        </w:tc>
        <w:tc>
          <w:tcPr>
            <w:tcW w:w="0" w:type="auto"/>
            <w:tcBorders>
              <w:top w:val="single" w:sz="4" w:space="0" w:color="auto"/>
              <w:left w:val="single" w:sz="4" w:space="0" w:color="auto"/>
              <w:bottom w:val="single" w:sz="4" w:space="0" w:color="auto"/>
              <w:right w:val="single" w:sz="4" w:space="0" w:color="auto"/>
            </w:tcBorders>
            <w:hideMark/>
          </w:tcPr>
          <w:p w14:paraId="6E8210E9" w14:textId="16AA7B63" w:rsidR="00010E35" w:rsidRDefault="00010E35" w:rsidP="00010E35">
            <w:pPr>
              <w:pStyle w:val="TAC"/>
              <w:rPr>
                <w:lang w:eastAsia="ja-JP"/>
              </w:rPr>
            </w:pPr>
            <w:r w:rsidRPr="002E3D00">
              <w:rPr>
                <w:lang w:eastAsia="ja-JP"/>
              </w:rPr>
              <w:t>NR, 100MHz/ 200MHz</w:t>
            </w:r>
          </w:p>
        </w:tc>
        <w:tc>
          <w:tcPr>
            <w:tcW w:w="0" w:type="auto"/>
            <w:tcBorders>
              <w:top w:val="single" w:sz="4" w:space="0" w:color="auto"/>
              <w:left w:val="single" w:sz="4" w:space="0" w:color="auto"/>
              <w:bottom w:val="single" w:sz="4" w:space="0" w:color="auto"/>
              <w:right w:val="single" w:sz="4" w:space="0" w:color="auto"/>
            </w:tcBorders>
            <w:hideMark/>
          </w:tcPr>
          <w:p w14:paraId="511D95B7" w14:textId="0E0441CF" w:rsidR="00010E35" w:rsidRDefault="00010E35" w:rsidP="00010E35">
            <w:pPr>
              <w:pStyle w:val="TAC"/>
              <w:rPr>
                <w:lang w:eastAsia="ja-JP"/>
              </w:rPr>
            </w:pPr>
            <w:r>
              <w:rPr>
                <w:lang w:eastAsia="ja-JP"/>
              </w:rPr>
              <w:t>15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56F09" w14:textId="77777777" w:rsidR="00010E35" w:rsidRDefault="00010E35" w:rsidP="00010E35">
            <w:pPr>
              <w:pStyle w:val="TAC"/>
              <w:rPr>
                <w:lang w:eastAsia="ja-JP"/>
              </w:rPr>
            </w:pPr>
            <w:r>
              <w:rPr>
                <w:lang w:eastAsia="ja-JP"/>
              </w:rPr>
              <w:t>Indoor hotspot</w:t>
            </w:r>
          </w:p>
        </w:tc>
      </w:tr>
      <w:tr w:rsidR="00010E35" w14:paraId="699F699A" w14:textId="77777777" w:rsidTr="00010E3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CD112" w14:textId="77777777" w:rsidR="00010E35" w:rsidRDefault="00010E35" w:rsidP="00010E35">
            <w:pPr>
              <w:pStyle w:val="TAC"/>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548CB78A" w14:textId="325B61BA" w:rsidR="00010E35" w:rsidRDefault="00010E35" w:rsidP="00010E35">
            <w:pPr>
              <w:pStyle w:val="TAC"/>
              <w:rPr>
                <w:lang w:eastAsia="ja-JP"/>
              </w:rPr>
            </w:pPr>
            <w:r w:rsidRPr="005F40BC">
              <w:rPr>
                <w:lang w:eastAsia="ja-JP"/>
              </w:rPr>
              <w:t>NR, 100MHz/ 200MHz</w:t>
            </w:r>
          </w:p>
        </w:tc>
        <w:tc>
          <w:tcPr>
            <w:tcW w:w="0" w:type="auto"/>
            <w:tcBorders>
              <w:top w:val="single" w:sz="4" w:space="0" w:color="auto"/>
              <w:left w:val="single" w:sz="4" w:space="0" w:color="auto"/>
              <w:bottom w:val="single" w:sz="4" w:space="0" w:color="auto"/>
              <w:right w:val="single" w:sz="4" w:space="0" w:color="auto"/>
            </w:tcBorders>
            <w:hideMark/>
          </w:tcPr>
          <w:p w14:paraId="356A0F7C" w14:textId="7AD8994B" w:rsidR="00010E35" w:rsidRDefault="00010E35" w:rsidP="00010E35">
            <w:pPr>
              <w:pStyle w:val="TAC"/>
              <w:rPr>
                <w:lang w:eastAsia="ja-JP"/>
              </w:rPr>
            </w:pPr>
            <w:r w:rsidRPr="002E3D00">
              <w:rPr>
                <w:lang w:eastAsia="ja-JP"/>
              </w:rPr>
              <w:t>NR, 100MHz/ 200MHz</w:t>
            </w:r>
          </w:p>
        </w:tc>
        <w:tc>
          <w:tcPr>
            <w:tcW w:w="0" w:type="auto"/>
            <w:tcBorders>
              <w:top w:val="single" w:sz="4" w:space="0" w:color="auto"/>
              <w:left w:val="single" w:sz="4" w:space="0" w:color="auto"/>
              <w:bottom w:val="single" w:sz="4" w:space="0" w:color="auto"/>
              <w:right w:val="single" w:sz="4" w:space="0" w:color="auto"/>
            </w:tcBorders>
            <w:hideMark/>
          </w:tcPr>
          <w:p w14:paraId="0EF8CB1F" w14:textId="3DF94227" w:rsidR="00010E35" w:rsidRDefault="00010E35" w:rsidP="00010E35">
            <w:pPr>
              <w:pStyle w:val="TAC"/>
              <w:rPr>
                <w:lang w:eastAsia="ja-JP"/>
              </w:rPr>
            </w:pPr>
            <w:r>
              <w:rPr>
                <w:lang w:eastAsia="ja-JP"/>
              </w:rPr>
              <w:t>15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52452" w14:textId="77777777" w:rsidR="00010E35" w:rsidRDefault="00010E35" w:rsidP="00010E35">
            <w:pPr>
              <w:pStyle w:val="TAC"/>
              <w:rPr>
                <w:lang w:eastAsia="ja-JP"/>
              </w:rPr>
            </w:pPr>
            <w:r>
              <w:rPr>
                <w:lang w:eastAsia="ja-JP"/>
              </w:rPr>
              <w:t>Dense urban</w:t>
            </w:r>
          </w:p>
        </w:tc>
      </w:tr>
    </w:tbl>
    <w:p w14:paraId="323C42D6" w14:textId="77777777" w:rsidR="009969E1" w:rsidRDefault="009969E1" w:rsidP="009969E1"/>
    <w:p w14:paraId="0A260BAF" w14:textId="04E7E7BB" w:rsidR="00920B8C" w:rsidRPr="00322279" w:rsidRDefault="00920B8C" w:rsidP="009969E1">
      <w:pPr>
        <w:rPr>
          <w:b/>
          <w:bCs/>
        </w:rPr>
      </w:pPr>
      <w:r w:rsidRPr="0091658C">
        <w:rPr>
          <w:b/>
          <w:bCs/>
          <w:u w:val="single"/>
        </w:rPr>
        <w:t xml:space="preserve">Proposal </w:t>
      </w:r>
      <w:r>
        <w:rPr>
          <w:b/>
          <w:bCs/>
          <w:u w:val="single"/>
        </w:rPr>
        <w:t>8</w:t>
      </w:r>
      <w:r w:rsidRPr="0039563D">
        <w:rPr>
          <w:b/>
          <w:bCs/>
        </w:rPr>
        <w:t xml:space="preserve">: RAN4 to reuse the </w:t>
      </w:r>
      <w:r>
        <w:rPr>
          <w:b/>
          <w:bCs/>
        </w:rPr>
        <w:t>deployment scenarios assumed in TR 38.921 (UMa and InH) and further discuss if Dense Urban is needed or not</w:t>
      </w:r>
      <w:r w:rsidRPr="0039563D">
        <w:rPr>
          <w:b/>
          <w:bCs/>
        </w:rPr>
        <w:t xml:space="preserve">. </w:t>
      </w:r>
    </w:p>
    <w:p w14:paraId="681505AD" w14:textId="7AD8937F" w:rsidR="00EB6F77" w:rsidRDefault="00EB6F77" w:rsidP="00EB6F77">
      <w:pPr>
        <w:pStyle w:val="Heading3"/>
      </w:pPr>
      <w:r>
        <w:t xml:space="preserve">2.3.2 </w:t>
      </w:r>
      <w:r>
        <w:tab/>
        <w:t xml:space="preserve">Network layout model </w:t>
      </w:r>
      <w:r w:rsidR="0039563D">
        <w:t xml:space="preserve">and propagation model </w:t>
      </w:r>
    </w:p>
    <w:p w14:paraId="7946A119" w14:textId="69AB0DD2" w:rsidR="008A6B03" w:rsidRDefault="00EB262E" w:rsidP="008A6B03">
      <w:r>
        <w:t xml:space="preserve">We propose to reuse the network layout model captured in </w:t>
      </w:r>
      <w:r w:rsidR="0039563D">
        <w:t xml:space="preserve">Section 4.2.1 in [2] for UMa and InH, while reuse the dense urban model from TR 38.803. </w:t>
      </w:r>
    </w:p>
    <w:p w14:paraId="265DE901" w14:textId="17E3B002" w:rsidR="0039563D" w:rsidRPr="0039563D" w:rsidRDefault="0039563D" w:rsidP="008A6B03">
      <w:pPr>
        <w:rPr>
          <w:b/>
          <w:bCs/>
        </w:rPr>
      </w:pPr>
      <w:r w:rsidRPr="0091658C">
        <w:rPr>
          <w:b/>
          <w:bCs/>
          <w:u w:val="single"/>
        </w:rPr>
        <w:t>Proposal</w:t>
      </w:r>
      <w:r w:rsidR="0091658C" w:rsidRPr="0091658C">
        <w:rPr>
          <w:b/>
          <w:bCs/>
          <w:u w:val="single"/>
        </w:rPr>
        <w:t xml:space="preserve"> </w:t>
      </w:r>
      <w:r w:rsidR="00A2439E">
        <w:rPr>
          <w:b/>
          <w:bCs/>
          <w:u w:val="single"/>
        </w:rPr>
        <w:t>9</w:t>
      </w:r>
      <w:r w:rsidRPr="0039563D">
        <w:rPr>
          <w:b/>
          <w:bCs/>
        </w:rPr>
        <w:t xml:space="preserve">: RAN4 to reuse the network layout model </w:t>
      </w:r>
      <w:r>
        <w:rPr>
          <w:b/>
          <w:bCs/>
        </w:rPr>
        <w:t xml:space="preserve">and relevant propagation models </w:t>
      </w:r>
      <w:r w:rsidRPr="0039563D">
        <w:rPr>
          <w:b/>
          <w:bCs/>
        </w:rPr>
        <w:t xml:space="preserve">in TR 38.803 for urban macro, indoor hotspot, and dense urban deployments. </w:t>
      </w:r>
    </w:p>
    <w:p w14:paraId="4C177949" w14:textId="441A9F2B" w:rsidR="009006F1" w:rsidRDefault="009006F1" w:rsidP="009006F1">
      <w:pPr>
        <w:pStyle w:val="Heading3"/>
      </w:pPr>
      <w:r>
        <w:t xml:space="preserve">2.3.4 </w:t>
      </w:r>
      <w:r>
        <w:tab/>
        <w:t xml:space="preserve">Transmission power control </w:t>
      </w:r>
    </w:p>
    <w:p w14:paraId="674C31B9" w14:textId="330B57D1" w:rsidR="0039563D" w:rsidRDefault="0039563D" w:rsidP="0039563D">
      <w:r>
        <w:t xml:space="preserve">Main component of the RAN4 power control algorithm adopted in [2, 3] is the </w:t>
      </w:r>
      <w:proofErr w:type="spellStart"/>
      <w:r>
        <w:t>CLxile</w:t>
      </w:r>
      <w:proofErr w:type="spellEnd"/>
      <w:r>
        <w:t xml:space="preserve"> value and SNR target. Typical UL SNR target is 15 dB. </w:t>
      </w:r>
      <w:proofErr w:type="spellStart"/>
      <w:r>
        <w:t>CLxile</w:t>
      </w:r>
      <w:proofErr w:type="spellEnd"/>
      <w:r>
        <w:t xml:space="preserve"> should be then evaluated depending on </w:t>
      </w:r>
      <w:r w:rsidR="00BB6985">
        <w:t>several parameters (</w:t>
      </w:r>
      <w:proofErr w:type="spellStart"/>
      <w:r w:rsidR="00BB6985">
        <w:t>e..g</w:t>
      </w:r>
      <w:proofErr w:type="spellEnd"/>
      <w:r w:rsidR="00BB6985">
        <w:t xml:space="preserve">, </w:t>
      </w:r>
      <w:r>
        <w:t>BS noise figure</w:t>
      </w:r>
      <w:r w:rsidR="00BB6985">
        <w:t xml:space="preserve">, UE conducted power, </w:t>
      </w:r>
      <w:r>
        <w:t xml:space="preserve"> and channel BW</w:t>
      </w:r>
      <w:r w:rsidR="00BB6985">
        <w:t>)</w:t>
      </w:r>
      <w:r>
        <w:t xml:space="preserve"> to ensure that the </w:t>
      </w:r>
      <w:r w:rsidR="00BB6985">
        <w:t xml:space="preserve">UL SNR target is met. </w:t>
      </w:r>
      <w:r w:rsidR="00395352">
        <w:t xml:space="preserve">At this stage, it is important that RAN4 converges on an UL SNR target, UE conducted power, and CHBW prior to finalizing the </w:t>
      </w:r>
      <w:proofErr w:type="spellStart"/>
      <w:r w:rsidR="00395352">
        <w:t>CLxile</w:t>
      </w:r>
      <w:proofErr w:type="spellEnd"/>
      <w:r w:rsidR="00395352">
        <w:t xml:space="preserve"> value. </w:t>
      </w:r>
    </w:p>
    <w:p w14:paraId="645E2303" w14:textId="14E40C9A" w:rsidR="00395352" w:rsidRPr="00947EAE" w:rsidRDefault="00947EAE" w:rsidP="0039563D">
      <w:pPr>
        <w:rPr>
          <w:b/>
          <w:bCs/>
        </w:rPr>
      </w:pPr>
      <w:r w:rsidRPr="0091658C">
        <w:rPr>
          <w:b/>
          <w:bCs/>
          <w:u w:val="single"/>
        </w:rPr>
        <w:t xml:space="preserve">Proposal </w:t>
      </w:r>
      <w:r w:rsidR="00972376">
        <w:rPr>
          <w:b/>
          <w:bCs/>
          <w:u w:val="single"/>
        </w:rPr>
        <w:t>10</w:t>
      </w:r>
      <w:r w:rsidR="00395352" w:rsidRPr="00947EAE">
        <w:rPr>
          <w:b/>
          <w:bCs/>
        </w:rPr>
        <w:t xml:space="preserve">: RAN4 to discuss the UL SNR target, UE maximum conducted power and channel bandwidth to </w:t>
      </w:r>
      <w:r w:rsidRPr="00947EAE">
        <w:rPr>
          <w:b/>
          <w:bCs/>
        </w:rPr>
        <w:t xml:space="preserve">address the power control parameters needed for the coexistence study. </w:t>
      </w:r>
    </w:p>
    <w:p w14:paraId="3AC90026" w14:textId="4C58FCA0" w:rsidR="009006F1" w:rsidRDefault="009006F1" w:rsidP="009006F1">
      <w:pPr>
        <w:pStyle w:val="Heading3"/>
      </w:pPr>
      <w:r>
        <w:t xml:space="preserve">2.3.5 </w:t>
      </w:r>
      <w:r>
        <w:tab/>
        <w:t xml:space="preserve">Noise figure </w:t>
      </w:r>
    </w:p>
    <w:p w14:paraId="0C4FAE48" w14:textId="364DB104" w:rsidR="00FF18A1" w:rsidRDefault="00FF18A1" w:rsidP="00FF18A1">
      <w:r>
        <w:t xml:space="preserve">Several values of </w:t>
      </w:r>
      <w:r w:rsidR="00CB27F4">
        <w:t>noise figures have been reported in [2] and [3]</w:t>
      </w:r>
      <w:r w:rsidR="00441FC9">
        <w:t xml:space="preserve">. As a starting point, we propose to consider </w:t>
      </w:r>
      <w:r w:rsidR="00911599">
        <w:t xml:space="preserve">for urban macro deployments </w:t>
      </w:r>
      <w:r w:rsidR="00C97564">
        <w:t xml:space="preserve">9 dB as noise figure for BS and </w:t>
      </w:r>
      <w:r w:rsidR="00911599">
        <w:t xml:space="preserve">[9-13] dB for the UE. </w:t>
      </w:r>
    </w:p>
    <w:p w14:paraId="37036F75" w14:textId="0BC43B8D" w:rsidR="00EB6F77" w:rsidRPr="00CE53D8" w:rsidRDefault="00911599" w:rsidP="00211997">
      <w:pPr>
        <w:rPr>
          <w:b/>
          <w:bCs/>
        </w:rPr>
      </w:pPr>
      <w:r w:rsidRPr="0091658C">
        <w:rPr>
          <w:b/>
          <w:bCs/>
          <w:u w:val="single"/>
        </w:rPr>
        <w:t>Proposal</w:t>
      </w:r>
      <w:r w:rsidR="0091658C" w:rsidRPr="0091658C">
        <w:rPr>
          <w:b/>
          <w:bCs/>
          <w:u w:val="single"/>
        </w:rPr>
        <w:t xml:space="preserve"> </w:t>
      </w:r>
      <w:r w:rsidR="00972376">
        <w:rPr>
          <w:b/>
          <w:bCs/>
          <w:u w:val="single"/>
        </w:rPr>
        <w:t>11</w:t>
      </w:r>
      <w:r w:rsidRPr="00911599">
        <w:rPr>
          <w:b/>
          <w:bCs/>
        </w:rPr>
        <w:t xml:space="preserve">: RAN4 to consider for noise figure for urban macro deployments 9 dB and [9-13] dB for BS and UE, respectively.  </w:t>
      </w:r>
    </w:p>
    <w:p w14:paraId="6E12F344" w14:textId="77777777" w:rsidR="00993E9B" w:rsidRDefault="00993E9B" w:rsidP="00993E9B">
      <w:pPr>
        <w:pStyle w:val="Heading1"/>
        <w:ind w:left="0" w:firstLine="0"/>
      </w:pPr>
      <w:r>
        <w:t>Conclusion</w:t>
      </w:r>
    </w:p>
    <w:p w14:paraId="680B5DC1" w14:textId="689C5A01" w:rsidR="00993E9B" w:rsidRDefault="004A75F9" w:rsidP="00993E9B">
      <w:r>
        <w:t xml:space="preserve">In this paper we have shared our views on the RF parameters for </w:t>
      </w:r>
      <w:r w:rsidR="0091658C" w:rsidRPr="004A7143">
        <w:t>14800 to 15350</w:t>
      </w:r>
      <w:r w:rsidR="0091658C">
        <w:rPr>
          <w:bCs/>
        </w:rPr>
        <w:t xml:space="preserve"> MHz f</w:t>
      </w:r>
      <w:r w:rsidR="0091658C" w:rsidRPr="0055126D">
        <w:rPr>
          <w:bCs/>
        </w:rPr>
        <w:t>requency range</w:t>
      </w:r>
      <w:r>
        <w:t>. Our observations and proposals can be summarized for that frequency range as follows:</w:t>
      </w:r>
    </w:p>
    <w:p w14:paraId="7A63C86E" w14:textId="77777777" w:rsidR="0091658C" w:rsidRDefault="0091658C" w:rsidP="0091658C">
      <w:pPr>
        <w:rPr>
          <w:b/>
          <w:bCs/>
          <w:lang w:eastAsia="ja-JP"/>
        </w:rPr>
      </w:pPr>
      <w:r w:rsidRPr="00F076B6">
        <w:rPr>
          <w:b/>
          <w:bCs/>
          <w:u w:val="single"/>
          <w:lang w:eastAsia="ja-JP"/>
        </w:rPr>
        <w:t>Proposal 1</w:t>
      </w:r>
      <w:r w:rsidRPr="00AD7C44">
        <w:rPr>
          <w:b/>
          <w:bCs/>
          <w:lang w:eastAsia="ja-JP"/>
        </w:rPr>
        <w:t xml:space="preserve">: </w:t>
      </w:r>
      <w:r w:rsidRPr="00AD7C44">
        <w:rPr>
          <w:b/>
          <w:bCs/>
        </w:rPr>
        <w:t xml:space="preserve">For </w:t>
      </w:r>
      <w:r>
        <w:rPr>
          <w:b/>
          <w:bCs/>
        </w:rPr>
        <w:t>duplexing,</w:t>
      </w:r>
      <w:r w:rsidRPr="00AD7C44">
        <w:rPr>
          <w:b/>
          <w:bCs/>
          <w:lang w:eastAsia="ja-JP"/>
        </w:rPr>
        <w:t xml:space="preserve"> RAN4 to assume TDD as a baseline further study the applicability of subband full duplex operation. </w:t>
      </w:r>
    </w:p>
    <w:p w14:paraId="4D67F7F8" w14:textId="77777777" w:rsidR="0091658C" w:rsidRDefault="0091658C" w:rsidP="0091658C">
      <w:pPr>
        <w:rPr>
          <w:b/>
          <w:bCs/>
        </w:rPr>
      </w:pPr>
      <w:r w:rsidRPr="00F076B6">
        <w:rPr>
          <w:b/>
          <w:bCs/>
          <w:u w:val="single"/>
        </w:rPr>
        <w:lastRenderedPageBreak/>
        <w:t xml:space="preserve">Proposal </w:t>
      </w:r>
      <w:r>
        <w:rPr>
          <w:b/>
          <w:bCs/>
          <w:u w:val="single"/>
        </w:rPr>
        <w:t>2</w:t>
      </w:r>
      <w:r w:rsidRPr="00915421">
        <w:rPr>
          <w:b/>
          <w:bCs/>
        </w:rPr>
        <w:t xml:space="preserve">: </w:t>
      </w:r>
      <w:r>
        <w:rPr>
          <w:b/>
          <w:bCs/>
        </w:rPr>
        <w:t>RAN4 to consider 100 MHz as a baseline and investigate the feasibility of higher channel bandwidth (e.g., 200 MHz).</w:t>
      </w:r>
    </w:p>
    <w:p w14:paraId="750976DA" w14:textId="77777777" w:rsidR="0091658C" w:rsidRDefault="0091658C" w:rsidP="0091658C">
      <w:pPr>
        <w:rPr>
          <w:b/>
          <w:bCs/>
        </w:rPr>
      </w:pPr>
      <w:r w:rsidRPr="00AC7669">
        <w:rPr>
          <w:b/>
          <w:bCs/>
          <w:u w:val="single"/>
        </w:rPr>
        <w:t xml:space="preserve">Proposal </w:t>
      </w:r>
      <w:r>
        <w:rPr>
          <w:b/>
          <w:bCs/>
          <w:u w:val="single"/>
        </w:rPr>
        <w:t>3</w:t>
      </w:r>
      <w:r w:rsidRPr="00BB0108">
        <w:rPr>
          <w:b/>
          <w:bCs/>
        </w:rPr>
        <w:t xml:space="preserve">: RAN4 </w:t>
      </w:r>
      <w:r>
        <w:rPr>
          <w:b/>
          <w:bCs/>
        </w:rPr>
        <w:t xml:space="preserve">to study the applicability and feasibility of requirements and technology capabilities in TR 38.820 and TR 38.921 to see its relevance for the 14.8 – 15.35 GHz frequency range. </w:t>
      </w:r>
    </w:p>
    <w:p w14:paraId="7F1740D8" w14:textId="2A1A0DB3" w:rsidR="00AC3B9F" w:rsidRDefault="00AC3B9F" w:rsidP="00AC3B9F">
      <w:pPr>
        <w:rPr>
          <w:b/>
          <w:bCs/>
        </w:rPr>
      </w:pPr>
      <w:r w:rsidRPr="00AC7669">
        <w:rPr>
          <w:b/>
          <w:bCs/>
          <w:u w:val="single"/>
        </w:rPr>
        <w:t xml:space="preserve">Proposal </w:t>
      </w:r>
      <w:r>
        <w:rPr>
          <w:b/>
          <w:bCs/>
          <w:u w:val="single"/>
        </w:rPr>
        <w:t>4</w:t>
      </w:r>
      <w:r w:rsidRPr="00297A8F">
        <w:rPr>
          <w:b/>
          <w:bCs/>
        </w:rPr>
        <w:t xml:space="preserve">: RAN4 to </w:t>
      </w:r>
      <w:r>
        <w:rPr>
          <w:b/>
          <w:bCs/>
        </w:rPr>
        <w:t>study feasibility</w:t>
      </w:r>
      <w:r w:rsidRPr="00297A8F">
        <w:rPr>
          <w:b/>
          <w:bCs/>
        </w:rPr>
        <w:t xml:space="preserve"> of </w:t>
      </w:r>
      <w:r w:rsidR="00B27918">
        <w:rPr>
          <w:b/>
          <w:bCs/>
        </w:rPr>
        <w:t xml:space="preserve">deploying </w:t>
      </w:r>
      <w:r>
        <w:rPr>
          <w:b/>
          <w:bCs/>
        </w:rPr>
        <w:t>larger</w:t>
      </w:r>
      <w:r w:rsidRPr="00297A8F">
        <w:rPr>
          <w:b/>
          <w:bCs/>
        </w:rPr>
        <w:t xml:space="preserve"> </w:t>
      </w:r>
      <w:r>
        <w:rPr>
          <w:b/>
          <w:bCs/>
        </w:rPr>
        <w:t xml:space="preserve">number of antenna elements </w:t>
      </w:r>
      <w:r w:rsidR="00B27918">
        <w:rPr>
          <w:b/>
          <w:bCs/>
        </w:rPr>
        <w:t xml:space="preserve">in the BS </w:t>
      </w:r>
      <w:r>
        <w:rPr>
          <w:b/>
          <w:bCs/>
        </w:rPr>
        <w:t xml:space="preserve">compared to FR1 </w:t>
      </w:r>
      <w:r w:rsidR="004B7A80">
        <w:rPr>
          <w:b/>
          <w:bCs/>
        </w:rPr>
        <w:t>for the</w:t>
      </w:r>
      <w:r>
        <w:rPr>
          <w:b/>
          <w:bCs/>
        </w:rPr>
        <w:t xml:space="preserve"> 15 GHz range.</w:t>
      </w:r>
    </w:p>
    <w:p w14:paraId="4B5E2D65" w14:textId="77777777" w:rsidR="00322279" w:rsidRDefault="00D72686" w:rsidP="0091658C">
      <w:pPr>
        <w:rPr>
          <w:b/>
          <w:bCs/>
        </w:rPr>
      </w:pPr>
      <w:r w:rsidRPr="00AC7669">
        <w:rPr>
          <w:b/>
          <w:bCs/>
          <w:u w:val="single"/>
        </w:rPr>
        <w:t xml:space="preserve">Proposal </w:t>
      </w:r>
      <w:r>
        <w:rPr>
          <w:b/>
          <w:bCs/>
          <w:u w:val="single"/>
        </w:rPr>
        <w:t>5</w:t>
      </w:r>
      <w:r w:rsidRPr="00F546F1">
        <w:rPr>
          <w:b/>
          <w:bCs/>
        </w:rPr>
        <w:t>: RAN4 to discuss whether the sub-array model is applicable, or the single element suffices</w:t>
      </w:r>
      <w:r>
        <w:rPr>
          <w:b/>
          <w:bCs/>
        </w:rPr>
        <w:t xml:space="preserve"> for AAS modelling in the </w:t>
      </w:r>
      <w:r w:rsidRPr="00372F65">
        <w:rPr>
          <w:b/>
          <w:bCs/>
        </w:rPr>
        <w:t xml:space="preserve">14.8 – 15.35 MHz frequency </w:t>
      </w:r>
      <w:proofErr w:type="spellStart"/>
      <w:r w:rsidRPr="00372F65">
        <w:rPr>
          <w:b/>
          <w:bCs/>
        </w:rPr>
        <w:t>range</w:t>
      </w:r>
      <w:r>
        <w:rPr>
          <w:b/>
          <w:bCs/>
        </w:rPr>
        <w:t>.</w:t>
      </w:r>
      <w:proofErr w:type="spellEnd"/>
    </w:p>
    <w:p w14:paraId="4BFC5DBE" w14:textId="77777777" w:rsidR="00322279" w:rsidRDefault="00322279" w:rsidP="00322279">
      <w:pPr>
        <w:rPr>
          <w:b/>
          <w:bCs/>
        </w:rPr>
      </w:pPr>
      <w:r w:rsidRPr="003465F6">
        <w:rPr>
          <w:b/>
          <w:bCs/>
          <w:u w:val="single"/>
        </w:rPr>
        <w:t xml:space="preserve">Proposal </w:t>
      </w:r>
      <w:r>
        <w:rPr>
          <w:b/>
          <w:bCs/>
          <w:u w:val="single"/>
        </w:rPr>
        <w:t>6</w:t>
      </w:r>
      <w:r w:rsidRPr="003465F6">
        <w:rPr>
          <w:b/>
          <w:bCs/>
        </w:rPr>
        <w:t xml:space="preserve">: </w:t>
      </w:r>
      <w:r>
        <w:rPr>
          <w:b/>
          <w:bCs/>
        </w:rPr>
        <w:t xml:space="preserve">RAN4 to discuss the feasibility of high power UEs.  </w:t>
      </w:r>
      <w:r w:rsidRPr="003465F6">
        <w:rPr>
          <w:b/>
          <w:bCs/>
        </w:rPr>
        <w:t xml:space="preserve"> </w:t>
      </w:r>
    </w:p>
    <w:p w14:paraId="1283B475" w14:textId="77777777" w:rsidR="00D72686" w:rsidRPr="00AC7669" w:rsidRDefault="00D72686" w:rsidP="00D72686">
      <w:pPr>
        <w:rPr>
          <w:b/>
          <w:bCs/>
        </w:rPr>
      </w:pPr>
      <w:r w:rsidRPr="00AC7669">
        <w:rPr>
          <w:b/>
          <w:bCs/>
          <w:u w:val="single"/>
        </w:rPr>
        <w:t xml:space="preserve">Proposal </w:t>
      </w:r>
      <w:r>
        <w:rPr>
          <w:b/>
          <w:bCs/>
          <w:u w:val="single"/>
        </w:rPr>
        <w:t>7</w:t>
      </w:r>
      <w:r w:rsidRPr="00BE6359">
        <w:rPr>
          <w:b/>
          <w:bCs/>
        </w:rPr>
        <w:t>:</w:t>
      </w:r>
      <w:r>
        <w:rPr>
          <w:b/>
          <w:bCs/>
        </w:rPr>
        <w:t xml:space="preserve"> RAN4 to study the feasibility of UE beamforming</w:t>
      </w:r>
      <w:r w:rsidRPr="00BE6359">
        <w:rPr>
          <w:b/>
          <w:bCs/>
        </w:rPr>
        <w:t xml:space="preserve">. </w:t>
      </w:r>
    </w:p>
    <w:p w14:paraId="56DFF869" w14:textId="77777777" w:rsidR="00661D49" w:rsidRDefault="00661D49" w:rsidP="00661D49">
      <w:pPr>
        <w:rPr>
          <w:b/>
          <w:bCs/>
        </w:rPr>
      </w:pPr>
      <w:r w:rsidRPr="00CE53D8">
        <w:rPr>
          <w:b/>
          <w:bCs/>
          <w:u w:val="single"/>
        </w:rPr>
        <w:t>Observation</w:t>
      </w:r>
      <w:r>
        <w:rPr>
          <w:b/>
          <w:bCs/>
        </w:rPr>
        <w:t xml:space="preserve"> 1</w:t>
      </w:r>
      <w:r w:rsidRPr="00CE53D8">
        <w:rPr>
          <w:b/>
          <w:bCs/>
        </w:rPr>
        <w:t xml:space="preserve">: Since no coexistence study has been conducted </w:t>
      </w:r>
      <w:r>
        <w:rPr>
          <w:b/>
          <w:bCs/>
        </w:rPr>
        <w:t xml:space="preserve">in </w:t>
      </w:r>
      <w:r w:rsidRPr="00CE53D8">
        <w:rPr>
          <w:b/>
          <w:bCs/>
        </w:rPr>
        <w:t xml:space="preserve">this frequency range before, it is recommended to start discussions on coexistence assumptions and parameters. </w:t>
      </w:r>
    </w:p>
    <w:p w14:paraId="732AE3F2" w14:textId="32653ADD" w:rsidR="00A2439E" w:rsidRDefault="00A2439E" w:rsidP="0091658C">
      <w:pPr>
        <w:rPr>
          <w:b/>
          <w:bCs/>
        </w:rPr>
      </w:pPr>
      <w:r w:rsidRPr="0091658C">
        <w:rPr>
          <w:b/>
          <w:bCs/>
          <w:u w:val="single"/>
        </w:rPr>
        <w:t xml:space="preserve">Proposal </w:t>
      </w:r>
      <w:r>
        <w:rPr>
          <w:b/>
          <w:bCs/>
          <w:u w:val="single"/>
        </w:rPr>
        <w:t>8</w:t>
      </w:r>
      <w:r w:rsidRPr="0039563D">
        <w:rPr>
          <w:b/>
          <w:bCs/>
        </w:rPr>
        <w:t xml:space="preserve">: RAN4 to reuse the </w:t>
      </w:r>
      <w:r>
        <w:rPr>
          <w:b/>
          <w:bCs/>
        </w:rPr>
        <w:t>deployment scenarios assumed in TR 38.921 (UMa and InH) and further discuss if Dense Urban is needed or not</w:t>
      </w:r>
      <w:r w:rsidRPr="0039563D">
        <w:rPr>
          <w:b/>
          <w:bCs/>
        </w:rPr>
        <w:t xml:space="preserve">. </w:t>
      </w:r>
    </w:p>
    <w:p w14:paraId="2103C425" w14:textId="77777777" w:rsidR="0061354C" w:rsidRPr="0039563D" w:rsidRDefault="0061354C" w:rsidP="0061354C">
      <w:pPr>
        <w:rPr>
          <w:b/>
          <w:bCs/>
        </w:rPr>
      </w:pPr>
      <w:r w:rsidRPr="0091658C">
        <w:rPr>
          <w:b/>
          <w:bCs/>
          <w:u w:val="single"/>
        </w:rPr>
        <w:t xml:space="preserve">Proposal </w:t>
      </w:r>
      <w:r>
        <w:rPr>
          <w:b/>
          <w:bCs/>
          <w:u w:val="single"/>
        </w:rPr>
        <w:t>9</w:t>
      </w:r>
      <w:r w:rsidRPr="0039563D">
        <w:rPr>
          <w:b/>
          <w:bCs/>
        </w:rPr>
        <w:t xml:space="preserve">: RAN4 to reuse the network layout model </w:t>
      </w:r>
      <w:r>
        <w:rPr>
          <w:b/>
          <w:bCs/>
        </w:rPr>
        <w:t xml:space="preserve">and relevant propagation models </w:t>
      </w:r>
      <w:r w:rsidRPr="0039563D">
        <w:rPr>
          <w:b/>
          <w:bCs/>
        </w:rPr>
        <w:t xml:space="preserve">in TR 38.803 for urban macro, indoor hotspot, and dense urban deployments. </w:t>
      </w:r>
    </w:p>
    <w:p w14:paraId="226874E3" w14:textId="78A2B216" w:rsidR="0091658C" w:rsidRPr="00947EAE" w:rsidRDefault="0091658C" w:rsidP="0091658C">
      <w:pPr>
        <w:rPr>
          <w:b/>
          <w:bCs/>
        </w:rPr>
      </w:pPr>
      <w:r w:rsidRPr="0091658C">
        <w:rPr>
          <w:b/>
          <w:bCs/>
          <w:u w:val="single"/>
        </w:rPr>
        <w:t xml:space="preserve">Proposal </w:t>
      </w:r>
      <w:r w:rsidR="00A2439E">
        <w:rPr>
          <w:b/>
          <w:bCs/>
          <w:u w:val="single"/>
        </w:rPr>
        <w:t>10</w:t>
      </w:r>
      <w:r w:rsidRPr="00947EAE">
        <w:rPr>
          <w:b/>
          <w:bCs/>
        </w:rPr>
        <w:t xml:space="preserve">: RAN4 to discuss the UL SNR target, UE maximum conducted power and channel bandwidth to address the power control parameters needed for the coexistence study. </w:t>
      </w:r>
    </w:p>
    <w:p w14:paraId="59A94279" w14:textId="1496DC92" w:rsidR="0091658C" w:rsidRPr="00AD7C44" w:rsidRDefault="0091658C" w:rsidP="0091658C">
      <w:pPr>
        <w:rPr>
          <w:b/>
          <w:bCs/>
        </w:rPr>
      </w:pPr>
      <w:r w:rsidRPr="0091658C">
        <w:rPr>
          <w:b/>
          <w:bCs/>
          <w:u w:val="single"/>
        </w:rPr>
        <w:t xml:space="preserve">Proposal </w:t>
      </w:r>
      <w:r w:rsidR="00A2439E">
        <w:rPr>
          <w:b/>
          <w:bCs/>
          <w:u w:val="single"/>
        </w:rPr>
        <w:t>11</w:t>
      </w:r>
      <w:r w:rsidRPr="00911599">
        <w:rPr>
          <w:b/>
          <w:bCs/>
        </w:rPr>
        <w:t xml:space="preserve">: RAN4 to consider for noise figure for urban macro deployments 9 dB and [9-13] dB for BS and UE, respectively.  </w:t>
      </w:r>
    </w:p>
    <w:p w14:paraId="17189E3E" w14:textId="77777777" w:rsidR="00993E9B" w:rsidRDefault="00993E9B" w:rsidP="00993E9B">
      <w:pPr>
        <w:pStyle w:val="Heading1"/>
        <w:ind w:left="0" w:firstLine="0"/>
      </w:pPr>
      <w:r>
        <w:t>Reference</w:t>
      </w:r>
    </w:p>
    <w:p w14:paraId="267B5DEF" w14:textId="7F42606F" w:rsidR="00993E9B" w:rsidRDefault="00993E9B" w:rsidP="000F58C5">
      <w:pPr>
        <w:pStyle w:val="B1"/>
        <w:ind w:left="719" w:hanging="435"/>
      </w:pPr>
      <w:r>
        <w:t>[1]</w:t>
      </w:r>
      <w:r>
        <w:tab/>
      </w:r>
      <w:r w:rsidR="000F58C5">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68C80CD7" w14:textId="7898214C" w:rsidR="008314CA" w:rsidRDefault="00993E9B" w:rsidP="000F58C5">
      <w:pPr>
        <w:pStyle w:val="B1"/>
        <w:ind w:left="719" w:hanging="435"/>
      </w:pPr>
      <w:r>
        <w:t xml:space="preserve">[2] </w:t>
      </w:r>
      <w:r>
        <w:tab/>
      </w:r>
      <w:r w:rsidR="000F58C5">
        <w:tab/>
      </w:r>
      <w:r w:rsidR="008314CA">
        <w:t>TR 38.921, “</w:t>
      </w:r>
      <w:r w:rsidR="008314CA" w:rsidRPr="00D04D6E">
        <w:t>Study on International Mobile Telecommunications (IMT) parameters for 6.425 - 7.025 GHz, 7.025 - 7.125 GHz and 10.0 - 10.5 GHz</w:t>
      </w:r>
      <w:r w:rsidR="008314CA">
        <w:t>”, 3GPP V17.1.0.</w:t>
      </w:r>
    </w:p>
    <w:p w14:paraId="64431F49" w14:textId="1CBC2304" w:rsidR="00993E9B" w:rsidRDefault="00993E9B" w:rsidP="0082764C">
      <w:pPr>
        <w:pStyle w:val="References"/>
        <w:numPr>
          <w:ilvl w:val="0"/>
          <w:numId w:val="0"/>
        </w:numPr>
        <w:autoSpaceDE/>
        <w:autoSpaceDN/>
        <w:snapToGrid/>
        <w:spacing w:after="80" w:line="256" w:lineRule="auto"/>
        <w:ind w:left="360" w:hanging="76"/>
      </w:pPr>
      <w:r>
        <w:t>[3]</w:t>
      </w:r>
      <w:bookmarkStart w:id="0" w:name="_Ref47616084"/>
      <w:bookmarkStart w:id="1" w:name="_Ref32439522"/>
      <w:r w:rsidR="0082764C">
        <w:t xml:space="preserve"> </w:t>
      </w:r>
      <w:bookmarkEnd w:id="0"/>
      <w:bookmarkEnd w:id="1"/>
      <w:r w:rsidR="000F58C5">
        <w:tab/>
      </w:r>
      <w:r w:rsidR="001B43FB">
        <w:rPr>
          <w:szCs w:val="20"/>
          <w:lang w:val="en-GB"/>
        </w:rPr>
        <w:t>TR 38.820, “</w:t>
      </w:r>
      <w:r w:rsidR="001B43FB" w:rsidRPr="00B55265">
        <w:rPr>
          <w:szCs w:val="20"/>
          <w:lang w:val="en-GB"/>
        </w:rPr>
        <w:t>Study on the 7 to 24 GHz frequency range for NR</w:t>
      </w:r>
      <w:r w:rsidR="001B43FB">
        <w:rPr>
          <w:szCs w:val="20"/>
          <w:lang w:val="en-GB"/>
        </w:rPr>
        <w:t xml:space="preserve">”, </w:t>
      </w:r>
      <w:r w:rsidR="001B43FB">
        <w:t>3GPP V16.1.0.</w:t>
      </w:r>
    </w:p>
    <w:p w14:paraId="6B6912CC" w14:textId="307A7E08" w:rsidR="000F58C5" w:rsidRDefault="000F58C5" w:rsidP="000F58C5">
      <w:pPr>
        <w:pStyle w:val="References"/>
        <w:numPr>
          <w:ilvl w:val="0"/>
          <w:numId w:val="0"/>
        </w:numPr>
        <w:autoSpaceDE/>
        <w:autoSpaceDN/>
        <w:snapToGrid/>
        <w:spacing w:after="80" w:line="256" w:lineRule="auto"/>
        <w:ind w:left="719" w:hanging="435"/>
        <w:rPr>
          <w:szCs w:val="20"/>
          <w:lang w:val="en-GB"/>
        </w:rPr>
      </w:pPr>
      <w:r>
        <w:rPr>
          <w:szCs w:val="20"/>
          <w:lang w:val="en-GB"/>
        </w:rPr>
        <w:t xml:space="preserve">[4] </w:t>
      </w:r>
      <w:r>
        <w:rPr>
          <w:szCs w:val="20"/>
          <w:lang w:val="en-GB"/>
        </w:rPr>
        <w:tab/>
      </w:r>
      <w:r w:rsidRPr="00753211">
        <w:rPr>
          <w:szCs w:val="20"/>
          <w:lang w:val="en-GB"/>
        </w:rPr>
        <w:t>RP-240789</w:t>
      </w:r>
      <w:r>
        <w:rPr>
          <w:szCs w:val="20"/>
          <w:lang w:val="en-GB"/>
        </w:rPr>
        <w:t>,</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 xml:space="preserve">Huawei, </w:t>
      </w:r>
      <w:proofErr w:type="spellStart"/>
      <w:r>
        <w:rPr>
          <w:szCs w:val="20"/>
          <w:lang w:val="en-GB"/>
        </w:rPr>
        <w:t>HiSilicon</w:t>
      </w:r>
      <w:proofErr w:type="spellEnd"/>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p>
    <w:p w14:paraId="7F3D3D64" w14:textId="77777777" w:rsidR="000F58C5" w:rsidRDefault="000F58C5" w:rsidP="0082764C">
      <w:pPr>
        <w:pStyle w:val="References"/>
        <w:numPr>
          <w:ilvl w:val="0"/>
          <w:numId w:val="0"/>
        </w:numPr>
        <w:autoSpaceDE/>
        <w:autoSpaceDN/>
        <w:snapToGrid/>
        <w:spacing w:after="80" w:line="256" w:lineRule="auto"/>
        <w:ind w:left="360" w:hanging="76"/>
        <w:rPr>
          <w:szCs w:val="20"/>
          <w:lang w:val="en-GB"/>
        </w:rPr>
      </w:pPr>
    </w:p>
    <w:p w14:paraId="2AAC5D96" w14:textId="77777777" w:rsidR="00993E9B" w:rsidRDefault="00993E9B" w:rsidP="00993E9B">
      <w:pPr>
        <w:pStyle w:val="B1"/>
      </w:pPr>
    </w:p>
    <w:p w14:paraId="318EFFBC" w14:textId="77777777" w:rsidR="00993E9B" w:rsidRDefault="00993E9B" w:rsidP="00993E9B">
      <w:pPr>
        <w:pStyle w:val="B1"/>
        <w:ind w:left="0" w:firstLine="0"/>
      </w:pPr>
    </w:p>
    <w:p w14:paraId="5467FF78" w14:textId="77777777" w:rsidR="00993E9B" w:rsidRDefault="00993E9B"/>
    <w:sectPr w:rsidR="00993E9B" w:rsidSect="0051127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0165617">
    <w:abstractNumId w:val="4"/>
  </w:num>
  <w:num w:numId="2" w16cid:durableId="1621305404">
    <w:abstractNumId w:val="1"/>
  </w:num>
  <w:num w:numId="3" w16cid:durableId="225802869">
    <w:abstractNumId w:val="2"/>
  </w:num>
  <w:num w:numId="4" w16cid:durableId="276178333">
    <w:abstractNumId w:val="0"/>
  </w:num>
  <w:num w:numId="5" w16cid:durableId="1935287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78FE"/>
    <w:rsid w:val="00010E35"/>
    <w:rsid w:val="00017D94"/>
    <w:rsid w:val="000443F3"/>
    <w:rsid w:val="00045BA0"/>
    <w:rsid w:val="00057089"/>
    <w:rsid w:val="000644E6"/>
    <w:rsid w:val="00065D07"/>
    <w:rsid w:val="000748BF"/>
    <w:rsid w:val="00093094"/>
    <w:rsid w:val="000970DC"/>
    <w:rsid w:val="000A56A5"/>
    <w:rsid w:val="000B3542"/>
    <w:rsid w:val="000B3A88"/>
    <w:rsid w:val="000B5295"/>
    <w:rsid w:val="000D285C"/>
    <w:rsid w:val="000E7DF4"/>
    <w:rsid w:val="000F5117"/>
    <w:rsid w:val="000F58C5"/>
    <w:rsid w:val="001163DF"/>
    <w:rsid w:val="00120B88"/>
    <w:rsid w:val="001319A1"/>
    <w:rsid w:val="001369FC"/>
    <w:rsid w:val="0014457D"/>
    <w:rsid w:val="00161208"/>
    <w:rsid w:val="001803A2"/>
    <w:rsid w:val="0018394D"/>
    <w:rsid w:val="001B43FB"/>
    <w:rsid w:val="001C1E73"/>
    <w:rsid w:val="001D27C1"/>
    <w:rsid w:val="001D538E"/>
    <w:rsid w:val="00207990"/>
    <w:rsid w:val="00211997"/>
    <w:rsid w:val="00216130"/>
    <w:rsid w:val="00227F48"/>
    <w:rsid w:val="0026134C"/>
    <w:rsid w:val="002626C4"/>
    <w:rsid w:val="00276C66"/>
    <w:rsid w:val="00292411"/>
    <w:rsid w:val="00297A8F"/>
    <w:rsid w:val="002A1AFD"/>
    <w:rsid w:val="002D37EF"/>
    <w:rsid w:val="002D7004"/>
    <w:rsid w:val="002E0D2A"/>
    <w:rsid w:val="002F21B4"/>
    <w:rsid w:val="002F2AB9"/>
    <w:rsid w:val="002F5DAE"/>
    <w:rsid w:val="0030399D"/>
    <w:rsid w:val="00305B4F"/>
    <w:rsid w:val="00317293"/>
    <w:rsid w:val="00322279"/>
    <w:rsid w:val="00337758"/>
    <w:rsid w:val="003465F6"/>
    <w:rsid w:val="00372F65"/>
    <w:rsid w:val="00382370"/>
    <w:rsid w:val="0038656B"/>
    <w:rsid w:val="00391215"/>
    <w:rsid w:val="003936F9"/>
    <w:rsid w:val="00395352"/>
    <w:rsid w:val="0039563D"/>
    <w:rsid w:val="003A3D36"/>
    <w:rsid w:val="003D74A8"/>
    <w:rsid w:val="003F73B2"/>
    <w:rsid w:val="00406761"/>
    <w:rsid w:val="004072E0"/>
    <w:rsid w:val="00424A73"/>
    <w:rsid w:val="0043357D"/>
    <w:rsid w:val="0043519E"/>
    <w:rsid w:val="00441FC9"/>
    <w:rsid w:val="00443278"/>
    <w:rsid w:val="00443AB1"/>
    <w:rsid w:val="00465A5D"/>
    <w:rsid w:val="00467828"/>
    <w:rsid w:val="00471D05"/>
    <w:rsid w:val="00471F05"/>
    <w:rsid w:val="004849E4"/>
    <w:rsid w:val="004A75F9"/>
    <w:rsid w:val="004B7A80"/>
    <w:rsid w:val="004D1525"/>
    <w:rsid w:val="0051127D"/>
    <w:rsid w:val="0051387B"/>
    <w:rsid w:val="00515FB6"/>
    <w:rsid w:val="00563EE6"/>
    <w:rsid w:val="00582E47"/>
    <w:rsid w:val="0059132F"/>
    <w:rsid w:val="005952AA"/>
    <w:rsid w:val="005A3804"/>
    <w:rsid w:val="005A643E"/>
    <w:rsid w:val="005A68EB"/>
    <w:rsid w:val="005B04DF"/>
    <w:rsid w:val="005B6ECB"/>
    <w:rsid w:val="0061354C"/>
    <w:rsid w:val="00623074"/>
    <w:rsid w:val="00641343"/>
    <w:rsid w:val="00650DBE"/>
    <w:rsid w:val="00655309"/>
    <w:rsid w:val="00661D49"/>
    <w:rsid w:val="0066665A"/>
    <w:rsid w:val="0067716E"/>
    <w:rsid w:val="006854BF"/>
    <w:rsid w:val="00692B4E"/>
    <w:rsid w:val="006955F4"/>
    <w:rsid w:val="006A1A1F"/>
    <w:rsid w:val="006A6E35"/>
    <w:rsid w:val="006B506A"/>
    <w:rsid w:val="006C0379"/>
    <w:rsid w:val="006D028C"/>
    <w:rsid w:val="006D77D2"/>
    <w:rsid w:val="006E4C77"/>
    <w:rsid w:val="006F04C9"/>
    <w:rsid w:val="00717FE4"/>
    <w:rsid w:val="00732C96"/>
    <w:rsid w:val="007333A6"/>
    <w:rsid w:val="00734E38"/>
    <w:rsid w:val="00737DCA"/>
    <w:rsid w:val="00741F1C"/>
    <w:rsid w:val="00746F1D"/>
    <w:rsid w:val="00765938"/>
    <w:rsid w:val="0076678B"/>
    <w:rsid w:val="007855B3"/>
    <w:rsid w:val="00791889"/>
    <w:rsid w:val="0079517F"/>
    <w:rsid w:val="007B7220"/>
    <w:rsid w:val="007D0076"/>
    <w:rsid w:val="007D0FF3"/>
    <w:rsid w:val="007D134E"/>
    <w:rsid w:val="007D3037"/>
    <w:rsid w:val="007D7357"/>
    <w:rsid w:val="007E5730"/>
    <w:rsid w:val="007E6BBF"/>
    <w:rsid w:val="007F2595"/>
    <w:rsid w:val="007F372E"/>
    <w:rsid w:val="00800C1B"/>
    <w:rsid w:val="008134E2"/>
    <w:rsid w:val="00813CE6"/>
    <w:rsid w:val="0082764C"/>
    <w:rsid w:val="008314CA"/>
    <w:rsid w:val="00845BA2"/>
    <w:rsid w:val="00847821"/>
    <w:rsid w:val="00853E26"/>
    <w:rsid w:val="00860E1B"/>
    <w:rsid w:val="0086319B"/>
    <w:rsid w:val="0087034A"/>
    <w:rsid w:val="008A151F"/>
    <w:rsid w:val="008A6B03"/>
    <w:rsid w:val="008A77DF"/>
    <w:rsid w:val="008B0E6C"/>
    <w:rsid w:val="008B1506"/>
    <w:rsid w:val="008B70F8"/>
    <w:rsid w:val="008D4695"/>
    <w:rsid w:val="008D51D4"/>
    <w:rsid w:val="009006F1"/>
    <w:rsid w:val="00911599"/>
    <w:rsid w:val="00914E18"/>
    <w:rsid w:val="00915421"/>
    <w:rsid w:val="0091658C"/>
    <w:rsid w:val="00920B8C"/>
    <w:rsid w:val="009216F9"/>
    <w:rsid w:val="0092684B"/>
    <w:rsid w:val="009311F3"/>
    <w:rsid w:val="00937778"/>
    <w:rsid w:val="00947EAE"/>
    <w:rsid w:val="009570AD"/>
    <w:rsid w:val="0095735B"/>
    <w:rsid w:val="00972376"/>
    <w:rsid w:val="009771A4"/>
    <w:rsid w:val="00990CAD"/>
    <w:rsid w:val="00991A72"/>
    <w:rsid w:val="00993E9B"/>
    <w:rsid w:val="009969E1"/>
    <w:rsid w:val="009A5414"/>
    <w:rsid w:val="009C5EBE"/>
    <w:rsid w:val="009C729C"/>
    <w:rsid w:val="00A03963"/>
    <w:rsid w:val="00A23173"/>
    <w:rsid w:val="00A2439E"/>
    <w:rsid w:val="00A40271"/>
    <w:rsid w:val="00A416EE"/>
    <w:rsid w:val="00A43466"/>
    <w:rsid w:val="00A504B0"/>
    <w:rsid w:val="00A6765A"/>
    <w:rsid w:val="00A727B4"/>
    <w:rsid w:val="00A85FE3"/>
    <w:rsid w:val="00AB1AA7"/>
    <w:rsid w:val="00AC04C4"/>
    <w:rsid w:val="00AC3B9F"/>
    <w:rsid w:val="00AC7669"/>
    <w:rsid w:val="00AD47F0"/>
    <w:rsid w:val="00AD7C44"/>
    <w:rsid w:val="00AE510F"/>
    <w:rsid w:val="00B11736"/>
    <w:rsid w:val="00B25ED1"/>
    <w:rsid w:val="00B26FC9"/>
    <w:rsid w:val="00B27918"/>
    <w:rsid w:val="00B432C1"/>
    <w:rsid w:val="00B46944"/>
    <w:rsid w:val="00B5299E"/>
    <w:rsid w:val="00B52D45"/>
    <w:rsid w:val="00B55265"/>
    <w:rsid w:val="00B57C2C"/>
    <w:rsid w:val="00B75FB9"/>
    <w:rsid w:val="00B81F1B"/>
    <w:rsid w:val="00B92A0F"/>
    <w:rsid w:val="00BB0108"/>
    <w:rsid w:val="00BB5183"/>
    <w:rsid w:val="00BB6985"/>
    <w:rsid w:val="00BD22DF"/>
    <w:rsid w:val="00BE07F8"/>
    <w:rsid w:val="00BE6359"/>
    <w:rsid w:val="00C11F67"/>
    <w:rsid w:val="00C12964"/>
    <w:rsid w:val="00C16CAD"/>
    <w:rsid w:val="00C36C62"/>
    <w:rsid w:val="00C447A0"/>
    <w:rsid w:val="00C502CB"/>
    <w:rsid w:val="00C614EB"/>
    <w:rsid w:val="00C70B0D"/>
    <w:rsid w:val="00C729DC"/>
    <w:rsid w:val="00C73DAF"/>
    <w:rsid w:val="00C778EA"/>
    <w:rsid w:val="00C93632"/>
    <w:rsid w:val="00C97564"/>
    <w:rsid w:val="00CA3370"/>
    <w:rsid w:val="00CB27F4"/>
    <w:rsid w:val="00CE53D8"/>
    <w:rsid w:val="00CE63B2"/>
    <w:rsid w:val="00CE7EAC"/>
    <w:rsid w:val="00CF1C8B"/>
    <w:rsid w:val="00D342AE"/>
    <w:rsid w:val="00D41446"/>
    <w:rsid w:val="00D4248B"/>
    <w:rsid w:val="00D61AB0"/>
    <w:rsid w:val="00D61CC4"/>
    <w:rsid w:val="00D72686"/>
    <w:rsid w:val="00D76887"/>
    <w:rsid w:val="00D82BB3"/>
    <w:rsid w:val="00DA0865"/>
    <w:rsid w:val="00DD0F13"/>
    <w:rsid w:val="00DD51B9"/>
    <w:rsid w:val="00DE69CF"/>
    <w:rsid w:val="00E02357"/>
    <w:rsid w:val="00E02FD4"/>
    <w:rsid w:val="00E31C49"/>
    <w:rsid w:val="00E33389"/>
    <w:rsid w:val="00E55098"/>
    <w:rsid w:val="00E60D19"/>
    <w:rsid w:val="00E625BD"/>
    <w:rsid w:val="00E96224"/>
    <w:rsid w:val="00EB262E"/>
    <w:rsid w:val="00EB6F77"/>
    <w:rsid w:val="00EC2208"/>
    <w:rsid w:val="00EC2BE8"/>
    <w:rsid w:val="00EC7443"/>
    <w:rsid w:val="00EE1C2D"/>
    <w:rsid w:val="00EF5544"/>
    <w:rsid w:val="00F01C01"/>
    <w:rsid w:val="00F05646"/>
    <w:rsid w:val="00F076B6"/>
    <w:rsid w:val="00F36698"/>
    <w:rsid w:val="00F36C04"/>
    <w:rsid w:val="00F546F1"/>
    <w:rsid w:val="00F57B90"/>
    <w:rsid w:val="00FB1152"/>
    <w:rsid w:val="00FB6946"/>
    <w:rsid w:val="00FD1F80"/>
    <w:rsid w:val="00FF0C68"/>
    <w:rsid w:val="00FF18A1"/>
    <w:rsid w:val="00FF6EC9"/>
    <w:rsid w:val="0F4A4BAB"/>
    <w:rsid w:val="129082A5"/>
    <w:rsid w:val="1813EEBC"/>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FED54922-424A-4399-AFA2-07C8FC7B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99"/>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99"/>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576BF4FB-E797-4344-8640-EE92B4673A25}">
  <ds:schemaRefs>
    <ds:schemaRef ds:uri="http://schemas.microsoft.com/sharepoint/v3/contenttype/forms"/>
  </ds:schemaRefs>
</ds:datastoreItem>
</file>

<file path=customXml/itemProps2.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1751</Words>
  <Characters>9987</Characters>
  <Application>Microsoft Office Word</Application>
  <DocSecurity>0</DocSecurity>
  <Lines>83</Lines>
  <Paragraphs>23</Paragraphs>
  <ScaleCrop>false</ScaleCrop>
  <Company>Qualcomm Incorporated</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263</cp:revision>
  <dcterms:created xsi:type="dcterms:W3CDTF">2024-03-28T10:16:00Z</dcterms:created>
  <dcterms:modified xsi:type="dcterms:W3CDTF">2024-04-08T12:04:00Z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